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DE" w:rsidRDefault="004E0E5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E31EDE" w:rsidRDefault="00E31ED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E31EDE">
        <w:trPr>
          <w:trHeight w:val="300"/>
        </w:trPr>
        <w:tc>
          <w:tcPr>
            <w:tcW w:w="5500" w:type="dxa"/>
            <w:tcBorders>
              <w:top w:val="nil"/>
              <w:left w:val="nil"/>
              <w:bottom w:val="single" w:sz="6" w:space="0" w:color="auto"/>
              <w:right w:val="nil"/>
            </w:tcBorders>
            <w:vAlign w:val="bottom"/>
          </w:tcPr>
          <w:p w:rsidR="00E31EDE" w:rsidRDefault="00AE114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20.07.2022</w:t>
            </w:r>
          </w:p>
        </w:tc>
      </w:tr>
      <w:tr w:rsidR="00E31EDE">
        <w:trPr>
          <w:trHeight w:val="300"/>
        </w:trPr>
        <w:tc>
          <w:tcPr>
            <w:tcW w:w="55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31EDE">
        <w:trPr>
          <w:trHeight w:val="300"/>
        </w:trPr>
        <w:tc>
          <w:tcPr>
            <w:tcW w:w="5500" w:type="dxa"/>
            <w:tcBorders>
              <w:top w:val="nil"/>
              <w:left w:val="nil"/>
              <w:bottom w:val="single" w:sz="6" w:space="0" w:color="auto"/>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E114B">
              <w:rPr>
                <w:rFonts w:ascii="Times New Roman CYR" w:hAnsi="Times New Roman CYR" w:cs="Times New Roman CYR"/>
                <w:sz w:val="24"/>
                <w:szCs w:val="24"/>
              </w:rPr>
              <w:t>20/07/2022</w:t>
            </w:r>
          </w:p>
        </w:tc>
      </w:tr>
      <w:tr w:rsidR="00E31EDE">
        <w:trPr>
          <w:trHeight w:val="300"/>
        </w:trPr>
        <w:tc>
          <w:tcPr>
            <w:tcW w:w="55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0"/>
          <w:szCs w:val="20"/>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E31EDE">
        <w:trPr>
          <w:trHeight w:val="200"/>
        </w:trPr>
        <w:tc>
          <w:tcPr>
            <w:tcW w:w="3640" w:type="dxa"/>
            <w:tcBorders>
              <w:top w:val="nil"/>
              <w:left w:val="nil"/>
              <w:bottom w:val="single" w:sz="6" w:space="0" w:color="auto"/>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Лєнь Є.О.</w:t>
            </w:r>
          </w:p>
        </w:tc>
      </w:tr>
      <w:tr w:rsidR="00E31EDE">
        <w:trPr>
          <w:trHeight w:val="200"/>
        </w:trPr>
        <w:tc>
          <w:tcPr>
            <w:tcW w:w="3640" w:type="dxa"/>
            <w:tcBorders>
              <w:top w:val="nil"/>
              <w:left w:val="nil"/>
              <w:bottom w:val="nil"/>
              <w:right w:val="nil"/>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0"/>
          <w:szCs w:val="20"/>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E31EDE" w:rsidRDefault="00E31ED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E31EDE" w:rsidRDefault="00E31ED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"КАМЕТ"</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00241206</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03117, м. Київ, проспект Перемоги,будинок 65</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400-0555, (044) 443-9333</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vizovi@kamet.com.ua</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12.07.2022, Затвердити рiчну iнформацiю емiтента цiнних паперiв за 2021 рiк.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E31EDE" w:rsidRDefault="00E31ED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E31EDE">
        <w:trPr>
          <w:trHeight w:val="300"/>
        </w:trPr>
        <w:tc>
          <w:tcPr>
            <w:tcW w:w="4450" w:type="dxa"/>
            <w:vMerge w:val="restart"/>
            <w:tcBorders>
              <w:top w:val="nil"/>
              <w:left w:val="nil"/>
              <w:bottom w:val="nil"/>
              <w:right w:val="nil"/>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http://kamet.emitents.net.ua/ua/docs/?fg_id=33</w:t>
            </w:r>
          </w:p>
        </w:tc>
        <w:tc>
          <w:tcPr>
            <w:tcW w:w="1500" w:type="dxa"/>
            <w:tcBorders>
              <w:top w:val="nil"/>
              <w:left w:val="nil"/>
              <w:bottom w:val="single" w:sz="6" w:space="0" w:color="auto"/>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20.07.2022</w:t>
            </w:r>
          </w:p>
        </w:tc>
      </w:tr>
      <w:tr w:rsidR="00E31EDE">
        <w:trPr>
          <w:trHeight w:val="300"/>
        </w:trPr>
        <w:tc>
          <w:tcPr>
            <w:tcW w:w="4450" w:type="dxa"/>
            <w:vMerge/>
            <w:tcBorders>
              <w:top w:val="nil"/>
              <w:left w:val="nil"/>
              <w:bottom w:val="nil"/>
              <w:right w:val="nil"/>
            </w:tcBorders>
          </w:tcPr>
          <w:p w:rsidR="00E31EDE" w:rsidRDefault="00E31ED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0"/>
          <w:szCs w:val="20"/>
        </w:rPr>
        <w:sectPr w:rsidR="00E31EDE">
          <w:pgSz w:w="12240" w:h="15840"/>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9000" w:type="dxa"/>
            <w:tcBorders>
              <w:top w:val="nil"/>
              <w:left w:val="nil"/>
              <w:bottom w:val="nil"/>
              <w:right w:val="nil"/>
            </w:tcBorders>
            <w:vAlign w:val="bottom"/>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10000" w:type="dxa"/>
            <w:gridSpan w:val="2"/>
            <w:tcBorders>
              <w:top w:val="nil"/>
              <w:left w:val="nil"/>
              <w:bottom w:val="nil"/>
              <w:right w:val="nil"/>
            </w:tcBorders>
            <w:vAlign w:val="bottom"/>
          </w:tcPr>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вiдсутня, тому що Товариство не проводило  рейтингової оцiнки.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фiлiалiв або iнших вiдокремлених структурних пiдроздiлiв емiтента вiдсутня, тому що фiлiалiв або iнших вiдокремлених структурних пiдроздiлiв немає.</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судовi справи емiтента (дочiрнiх пiдприємств немає) вiдсутня тому що судових справ, за якими розглядаються позовнi вимоги у розмiрi на суму 1 та бiльше вiдсоткiв активiв емiтента станом на початок звiтного року, стороною в яких виступає емiтент, його посадовi особи не надається, тому що такi судовi справи вiдсутнi.</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штрафнi санкцiї щодо емiтента вiдсутня, тому що штрафних санкцiй, накладених органами державної влади у звiтному перiодi не було.</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засновникiв та/або учасникiв емiтента, вiдсоток акцiй (часток, паїв) вiдсутня, тому що засновники Товариства не є акцiонерами на кiнець звiтного перiоду.</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володiння посадовими особами емiтента акцiями емiтента вiдсутня, тому що посадовi особи акцiями Товариства не володiють.</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облiгацiї емiтента вiдсутня, тому що Товариство не випускало облiгацiй;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iншi цiннi папери, випущенi емiтентом вiдсутня, тому що Товариство не </w:t>
            </w:r>
            <w:r>
              <w:rPr>
                <w:rFonts w:ascii="Times New Roman CYR" w:hAnsi="Times New Roman CYR" w:cs="Times New Roman CYR"/>
                <w:sz w:val="24"/>
                <w:szCs w:val="24"/>
              </w:rPr>
              <w:lastRenderedPageBreak/>
              <w:t>випускало iншi цiннi папери.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похiднi цiннi папери емiтента вiдсутня, тому що Товариство не випускало похiднi цiннi папери.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придбання власних акцiй емiтентом протягом звiтного перiоду вiдсутня, тому що Товариство не придбавало власнi акцiї протягом звiтного перiоду, викуплених власних акцiй немає.</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змiну акцiонерiв, яким належать голосуючi акцiї, розмiр пакета яких стає бiльшим, меншим або рiвним пороговому значенню пакета акцiй вiдсутня, тому що таких змiн в звiтному перiодi не було.</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 (крiм акцiй) такого емiтента вiдсутня, тому що iншi цiннi папери (крiм акцiй) не випускалиь.</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акцiй у розмiрi понад 0,1 вiдсотка розмiру статутного капiталу такого емiтента вiдсутня тому що, працiвники Товариства не володiють акцiями Товариства у розмiрi понад 0,1 вiдсотка розмiру статутного капiталу Товариства.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вiдсутня, тому що обмежень немає.</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обсяги виробництва та реалiзацiї основних видiв продукцiї та iнформацiя про собiвартiсть реалiзованої продукцiї вiдсутня, тому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акцiонернi або корпоративнi договори, укладенi акцiонерами (учасниками) такого емiтента, яка наявна в емiтента вiдсутня тому що такої iнформацiї у Товариства немає;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договори та/або правочини, умовою чинностi яких є незмiннiсть осiб, якi здiйснюють контроль над емiтентом вiдсутня, тому що таких договорiв та/або правочинiв немає;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щодо особливої iнформацiї та iнформацiї про iпотечнi цiннi папери, що виникала протягом звiтного перiоду вiдсутнi, тому що особлива iнформацiя протягом звiтного перiоду не виникала.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iнформацiя щодо  корпоративного секретаря; iiнформацiя про будь-якi винагороди або компенсацiї, якi мають бути виплаченi посадовим особам емiтента в разi їх звiльнення; 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iнформацiя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iнформацiя про прийняття рiшення про попереднє надання згоди на вчинення значних правочинiв; iнформацiя вчинення значних правочинiв; iнформацiя про вчинення правочинiв, щодо вчинення яких є заiнтересованiсть; iнформацiя про осiб, заiнтересованих у вчиненнi товариством правочинiв iз заiнтересованiстю, та обставини, iснування яких створює заiнтересованiсть;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вiдсутня, тому що приватне акцiонерне товариство, щодо iнших цiнних паперiв, крiм акцiй, якого не здiйснено публiчну пропозицiю, не зобов'язано розкривати цю iнформацiю.</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зазначена в пунктах 36-45 вiдсутня тому що товариство не випускало iпотечнi облiгацiї, iпотечнi сертифiкати та сертифiкати ФОН.</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Через технiчнi особливостi програмного забезпечення, а саме: обмежена кiлькiсть знакiв у </w:t>
            </w:r>
            <w:r>
              <w:rPr>
                <w:rFonts w:ascii="Times New Roman CYR" w:hAnsi="Times New Roman CYR" w:cs="Times New Roman CYR"/>
                <w:sz w:val="24"/>
                <w:szCs w:val="24"/>
              </w:rPr>
              <w:lastRenderedPageBreak/>
              <w:t>третьому стовпчику таблицi шостого пункту звiту про корпоративне управлiння, неможливо повнiстю вказати реєстрацiйний код юридичної особи. Код  Товариства з обмеженою вiдповiдальнiстю "Компанiя з управлiння активами "Патрiот" ((Пайовий недиверсифiкований венчурний iнвестицiйний фонд закритого типу "Патрiот-2") вiрно читати: 38590189-23300188.</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sectPr w:rsidR="00E31EDE">
          <w:pgSz w:w="12240" w:h="15840"/>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"КАМЕТ"</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14.06.2001</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22000000</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60</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72.19 - Дослiдження й експериментальнi розробки у сферi iнших природничих i технiчних наук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28.29 - Виробництво iнших машин i устаткування загального призначення, н.в.i.у</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КБ "ПРИВАТБАНК", МФО 305299</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UA743052990000026007015014913</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UA743052990000026007015014913</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МФО 322313</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UA143223130000026005000026570</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UA143223130000026005000026570</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"СIНТЕЗ-ОЙЛ"</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36962529</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01033, м. Київ, ВУЛИЦЯ ТАРАСIВСЬКА, будинок 38, примiщення 1-4</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Форма участi: засновник. Вiдсоток часток, що належать емiтенту в юридичнiй особi: 57,04%. Активи, наданi емiтентом у якостi внеску: 9249073.07 грн. Права, що належать емiтенту </w:t>
      </w:r>
      <w:r>
        <w:rPr>
          <w:rFonts w:ascii="Times New Roman CYR" w:hAnsi="Times New Roman CYR" w:cs="Times New Roman CYR"/>
          <w:sz w:val="24"/>
          <w:szCs w:val="24"/>
        </w:rPr>
        <w:lastRenderedPageBreak/>
        <w:t>стосовно управлiння створеною юридичною особою: у вiдповiдностi до Статуту Товариства з обмеженою вiдповiдальнiстю "СIНТЕЗ-ОЙЛ" та чинного законодавства України.</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E31EDE" w:rsidRDefault="00E31ED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було.</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(осiб): 60.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позаштатних працiвникiв та осiб, якi працюють за сумiсництвом (осiб): 7.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Чисельнiсть працiвникiв, якi працюють на умовах неповного робочого часу (дня, тижня)  (осiб):1.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9593 тис.грн. Вiдносно попереднього року фонд оплати працi зменшився на 376 тис. грн.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програма емiтента, спрямована на забезпечення рiвня квалiфiкацiї працiвникiв операцiйним потребам емiтента:емiтент щороку видiляє кошти на забезпечення вiдповiдної квалiфiкацiї працiвникiв, оплачує вартiсть курсiв пiдвищення квалiфiкацiї, проводить навчання нових працiвникiв. </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проводить спiльну дiяльнiсть з iншими органiзацiями, пiдприємствами, установами. </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боку третiх осiб пропозицiй щодо реорганiзацiї не надходило.</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Стислий виклад основних положень облiкової полiтики: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первiсному визнаннi основнi засоби вiдображаються за вартiстю придбання або створення. Пiсля визнання основнi засоби облiковуються за iсторичною вартiстю за мiнусом суми амортизацiї.</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по всiх групах нараховується прямолiнiйним методом. Базою для нарахування </w:t>
      </w:r>
      <w:r>
        <w:rPr>
          <w:rFonts w:ascii="Times New Roman CYR" w:hAnsi="Times New Roman CYR" w:cs="Times New Roman CYR"/>
          <w:sz w:val="24"/>
          <w:szCs w:val="24"/>
        </w:rPr>
        <w:lastRenderedPageBreak/>
        <w:t xml:space="preserve">амортизацiї дiючих основних засобiв є їх первiсна вартiсть.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Термiни корисного використання основних засобiв вiд 5 до 50 рокiв</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Прибутки та збитки, що виникають у результатi вибуття основних засобiв, визначаються на основi їх балансової вартостi i враховуються при розрахунку суми прибутку(збитку).</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ремонт вiдображаються у звiтi про прибутки й збитки в момент їх виникнення.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в бухгалтерському облiку i звiтностi за найменшою з двох оцiнок - первiсною вартiстю або чистою вартiстю реалiзацiї.</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одиницi запасiв при вибуттi визначається на пiдставi методу ФIФО, тобто по собiвартостi перших за часом надходження запасiв.</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оцiнюються та вiдображаються у бухгалтерському облiку за собiвартiстю. Собiвартiсть фiнансової iнвестицiї складається з цiни її придбання, комiсiйних винагород, мита, податкiв, зборiв, обов'язкових платежiв та iнших витрат, безпосередньо пов'язаних з придбанням фiнансової iнвестицiї. Фiнансовi iнвестицiї на дату балансу вiдображаються за справедливою вартiстю. Iнвестицiї справедливу вартiсть яких достовiрно визначити неможливо, вiдображаються на дату балансу за їх собiвартiстю з урахуванням зменшення корисностi iнвестицiї.</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види продукцiї або послуг: товариство надає послуги з надання в оренду власних нежитлових (офiсних i виробничо-промислових) примiщень (Надання в оренду й експлуатацiю власного чи орендованого нерухомого майна (код КВЕД 68.20). Загальний обсяг наданих послуг за 2021р.: 37287 тис. грн., з яких послуги з Надання в оренду й експлуатацiю власного чи орендованого нерухомого майна (код КВЕД 68.20), саме надання в оренду  нежитлових примiщень ,що за результатами 2021 року становить 100% рiчного доходу й складає 37287тис. грн. Середньомiсячний дохiд вiд здачi в оренду власних нежитлових примiщень склав 3107 тис. грн.  Середньореалiзацiйна цiна з оренди одного квадратного метра нежитлових площ у 2021 роцi склала 228 грн.   Загальна сума експорту 0,00грн тис.грн. Частка експорту в загальному обсязi продажiв :0. Найбiльш перспективними є послуги з надання в оренду й експлуатацiю власного чи орендованого нерухомого майна. Дiяльнiсть товариства вiд сезонних змiн  не залежить.  Фiнансовi ризики.  Дiяльнiсть Товариства пiддається впливу безлiчi фiнансових ризикiв, включаючи ефект вiд змiни ринкових цiн, коливань валютних курсiв. Керiвництво Товариства  веде полiтику, спрямовану на попередження й зменшення впливу таких ризикiв. Кредитнi ризики. Фiнансовi iнструменти, якi потенцiйно пiддаються впливу кредитного ризику, в основному представленi торговою дебiторською заборгованiстю та грошовими коштами та еквiвалентами. Ризик лiквiдностi. Для управлiння ризиком лiквiдностi керiвництво Товариства </w:t>
      </w:r>
      <w:r>
        <w:rPr>
          <w:rFonts w:ascii="Times New Roman CYR" w:hAnsi="Times New Roman CYR" w:cs="Times New Roman CYR"/>
          <w:sz w:val="24"/>
          <w:szCs w:val="24"/>
        </w:rPr>
        <w:lastRenderedPageBreak/>
        <w:t>проводить полiтику управлiння активами й зобов'язаннями, спрямовану на недопущення розривiв у строках платежiв, що виражається в здатностi мобiлiзацiї лiквiдних активiв для погашення поточних зобов'язань. Податкове законодавство. Через наявнiсть в українському законодавствi в сферi господарської дiяльностi та, зокрема, у податковому законодавствi, норм, що допускають неоднозначне тлумачення, а також з огляду на сформовану в умовах загальної нестабiльностi практику непередбаченої оцiнки податковими органами фактiв господарської дiяльностi, у тому числi непередбаченого вiднесення дiй Товариств до тих або iнших їх видiв при вiдсутностi нормативних критерiїв для цього, оцiнка керiвництвом фактiв господарської дiяльностi Товариства може не збiгатися з iнтерпретацiєю цих фактiв податковими органами. Якщо яка-небудь операцiя буде оскаржена податковими органами, Товариству можуть бути донарахованi суми податкiв, а також можливi штрафи й пенi. Перiод, протягом якого податковi органи можуть здiйснити перевiрку, становить три роки.  Для зменшення ризикiв та захисту своєї дiяльностi Товариство здiйснює накопичення фiнансових ресурсiв. Заходи щодо розширення виробництва та ринкiв збуту: вивчення ринку та  реклама. До основних джерел сировини, вiд яких  безпосередньо залежить надання послуг з оренди майна  можна вiднести: електроенергiю (постачальник - ТОВ "Київсьеi енергетичнi послуги"), газопостачання (постачальник - ТОВ "Нафтогаз Трейдiнг""), водопостачання та водовiдведення (постачальник - ПрАТ АК "Київводоканал"). Протягом звiтного 2021 року цiни на усi вищезазначенi послуги (енергоносiї) мали постiйну динамiку зростання, проте були доступнi в достатнiй кiлькостi  для придбання споживачем (ПрАТ "КАМЕТ"). Становище Товариства на ринку стабiльне. Емiтент здiйснює свою дiяльнiсть лише в Українi, 100% доходiв за звiтний рiк отримано в Українi.</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останнi 5 рокiв значних вiдчужень активiв не було.</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Значних iнвестицiй або придбань, пов'язаних з господарською дiяльнiстю не планується.</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володiє такими основними засобами: будiвля за адресою м. Київ, пр. Перемоги, 65, обладання, офiснi меблi, комп'ютерна технiка, якi утримуються на балансi Товариства та знаходяться за адресою м. Київ, пр. Перемоги, 65. Об'єктiв оренди та будь-яких значних правочинiв щодо основних засобiв немає. Ступiнь використання обладнання - 100%. Екологiчнi питання, що можуть позначитися на використаннi активiв пiдприємства не  iснують. Капiтальне будiвництво, розширення або удосконалення основних засобiв не планується.</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Проблеми, якi впливають на дiяльнiсть емiтента - економiчна криза зменшила коло замовникiв та вiдповiдно  кiлькiсть замовлень.</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w:t>
      </w:r>
      <w:r>
        <w:rPr>
          <w:rFonts w:ascii="Times New Roman CYR" w:hAnsi="Times New Roman CYR" w:cs="Times New Roman CYR"/>
          <w:b/>
          <w:bCs/>
          <w:sz w:val="24"/>
          <w:szCs w:val="24"/>
        </w:rPr>
        <w:lastRenderedPageBreak/>
        <w:t>фахівців емітента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товариства здiйснюється за рахунок власних коштiв. Робочого капiталу для поточних потреб Товариства достатньо. Фахiвцi емiтента не здiйснювали оцiнку можливих шляхiв покращення лiквiдностi.</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договори, що укладенi, виконанi в повному обсязi або в межах етапiв, обумовлених договорами.</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Стратегiя, щодо розширення виробництва, реконструкцiї, полiпшення фiнансового стану дiяльностi на рiк вiдсутня. Фактори, якi можуть вплинути на дiяльнiсть емiтента в майбутньому: повномасштабне вiйськове вторгнення РФ на територiю України; нестабiльнiсть законодавчої бази; можливi змiни в оподаткуваннi та кредитно-фiнансовiй полiтицi держави; погiршення загальної економiчної ситуацiї в Українi.</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дослiдження та розробки не проводились.</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яка може бути iстотною для оцiнки iнвесторами фiнансового стану та результатiв дiяльностi емiтента, вiдсутня. Iнформацiї про результати та аналiз господарювання емiтента за останнi три роки у формi аналiтичної довiдки в довiльнiй формi немає.</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E31EDE">
        <w:trPr>
          <w:trHeight w:val="200"/>
        </w:trPr>
        <w:tc>
          <w:tcPr>
            <w:tcW w:w="2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орган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Лєнь Євген Олексiйович;</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правлiння: </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Власюк Ольга Володимирiвна;</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Черевань Олександр Вiкторович</w:t>
            </w: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орган, комiтетiв в складi наглядової ради не створено</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Сєнiчкiн Олексiй Миколайович.</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 Корнейчук Наталiя Костянтинiвна, Ювченко Юрiй Анатолiйович.</w:t>
            </w:r>
            <w:r>
              <w:rPr>
                <w:rFonts w:ascii="Times New Roman CYR" w:hAnsi="Times New Roman CYR" w:cs="Times New Roman CYR"/>
              </w:rPr>
              <w:tab/>
            </w: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реєстру власникiв iменних цiнних паперiв</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2240" w:h="15840"/>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E31EDE">
        <w:trPr>
          <w:trHeight w:val="200"/>
        </w:trPr>
        <w:tc>
          <w:tcPr>
            <w:tcW w:w="9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E31EDE">
        <w:trPr>
          <w:trHeight w:val="200"/>
        </w:trPr>
        <w:tc>
          <w:tcPr>
            <w:tcW w:w="9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Лєнь Євген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Ворошиловградський машинобудiвний iнститут. Iнженер-механiк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АКБ "Європейський", 19364130, Начальник адмiнiстративно-господарського управлiння</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27.04.2015, до переобрання</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Отримує винагороду згiдно iз штатним розписом, в 2021 роцi було виплачено: 435815 грн.,у натуральнiй формi винагорода не виплачувалась. Непогашеної судимостi за корисливi та посадовi злочини не має. Загальний стаж роботи - 41 рiк. Перелiк попереднiх посад, якi обiймала особа протягом останнiх п'яти рокiв: Начальник адмiнiстративно-господарського управлiння. Посад на iнших пiдприємствах не обiймає. </w:t>
            </w:r>
          </w:p>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Власюк Ольга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iнститут народного господарства,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"КАМЕТ", 00241206, начальник ПЕО</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08.04.2011, до переобрання</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Розмiр виплаченої винагороди - згiдно зi штатним розписом, в 2021 роцi було виплачено: 327647 грн. У натуральнiй формi винагорода не виплачувалась.Непогашеної судимостi за корисливi та посадовi злочини посадова особа емiтента не має. Загальний стаж роботи - 44 роки. Перелiк попереднiх посад, якi обiймала особа протягом останнiх п'яти рокiв: економiст, заступник головного економiста. Посад на будь-яких iнших пiдприємствах не обiймає. </w:t>
            </w:r>
          </w:p>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Черевань Олександр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Днiпропетровський гiрничий iнститут. Iнженер-електрик</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IФГ "ТАС", 30929821, голова наглядової ради</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08.04.2011, до переобрання</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Розмiр виплаченої винагороди - згiдно зi штатним розписом, в 2021 роцi було виплачено: 377180 грн. У натуральнiй формi винагорода не виплачувалась. Непогашеної судимостi за корисливi та посадовi злочини посадова особа емiтента не має. Загальний стаж роботи - 47 рокiв. Перелiк попереднiх посад, якi обiймала особа протягом останнiх п'яти рокiв:  голова наглядової ради. Посад на будь-яких iнших пiдприємствах не обiймає. </w:t>
            </w: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Сєнiчкiн Олексiй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Нацiональна академiя СБУ, юрист</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"Камет Актив", 38506296, директор</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 до переобрання</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Розмiр виплаченої винагороди - згiдно затвердженого кошторису, в 2021 роцi було виплачено: 238072 грн., у натуральнiй формi - не виплачувалася. Непогашеної судимостi за корисливi та посадовi злочини посадова особа емiтента не має. Загальний стаж роботи - 33 роки. Перелiк попереднiх посад, якi обiймала особа протягом останнiх п"яти рокiв: директор. Посади, якi обiймає на будь-яких iнших пiдприємствах: директор ТОВ "Камет ойл", iдентифiкацiйний код 38506296, мiсцезнаходження: 03117, м.Київ, проспект Перемоги, буд. 65.</w:t>
            </w:r>
          </w:p>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Корнейчук Наталiя Костянтинiвна</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нацiональний економiчний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 "КАПIТАЛ ГРУП", 34807946, Заступник фiнансового директора</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 на 3 роки</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у натуральнiй формi як члену Наглядової ради не виплачувалась (не передбачена). Непогашеної судимостi за корисливi та посадовi злочини посадова особа емiтента не має. Загальний стаж роботи - 20 рокiв. Перелiк попереднiх посад, якi обiймала особа протягом останнiх п'яти рокiв: головний бухгалтер. Одночасно обiймає посаду заступника фiнансового  директора ПрАТ "КАМЕТ" (за сумiсництвом). Посади, якi обiймає на будь-яких iнших пiдприємствамх: головний бухгалтер ТОВ "КУА "ПАТРIОТ", iдентифiкацiйний код 38590189, мiсцезнаходження: 03117, м. Київ, проспект Перемоги, буд. 65.</w:t>
            </w: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Ювченко Юрiй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юридична, Нацiональна академiя внутрiшнiх справ</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"Страхова компанiя "КАПIТАЛ ГРУП", 34807946,  менеджер з права</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 на 3 роки</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у натуральнiй формi як члену Наглядової ради не виплачувалась (не передбачена). Непогашеної судимостi за корисливi та посадовi злочини посадова особа емiтента не має. Загальний стаж роботи - 17 рокiв. Перелiк попереднiх посад, якi обiймала особа протягом останнiх п'яти рокiв: менеджер з права. Посади, якi обiймає на будь-яких iнших пiдприємствах: менеджер з права ТОВ "КУА "ПАТРIОТ", iдентифiкацiйний код 38590189, мiсцезнаходження: (03117, м. Київ, проспект Перемоги, буд. 65; в.о. директора ТОВ "Радомишльська деревообробна компанiя", iдентифiкацiйний код 34065060, мiсцезнаходження: Житомирська обл., м. Радомишль, вул. Котовського, 33.</w:t>
            </w: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Дьоменко Iгор Дмитрович</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автомобiльно-дорожнiй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"Київський суднобудiвний-судноремонтний завод", 03149949, юрисконсульт</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 на 3 роки</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у натуральнiй формi як головi Ревiзiйної комiсiї не виплачувалась (не передбачена). Непогашеної судимостi за корисливi та посадовi злочини посадова особа емiтента не має. Загальний стаж роботи - 24 роки. Перелiк попереднiх посад, якi обiймала особа протягом останнiх п'яти рокiв: юрисконсульт. Посад на будь-яких iнших пiдприємствах не обiймав.</w:t>
            </w:r>
          </w:p>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Глєєва Марина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Нацiональний технiчний унiверситет України "Київський </w:t>
            </w:r>
            <w:r>
              <w:rPr>
                <w:rFonts w:ascii="Times New Roman CYR" w:hAnsi="Times New Roman CYR" w:cs="Times New Roman CYR"/>
              </w:rPr>
              <w:lastRenderedPageBreak/>
              <w:t>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11</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"Схiдноєвропейська iнвестицiйна компанiя", 41367842, Маркетолог </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 на 3 роки</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числi у натуральнiй формi як члену Ревiзiйної комiсiї не виплачувалась (не передбачена). Непогашеної судимостi за корисливi та посадовi злочини посадова особа емiтента не має. Загальний стаж роботи -11 рокiв. Перелiк попереднiх посад, якi обiймала особа протягом останнiх п'яти рокiв: маркетолог. Посади, якi обiймає посадова особа на будь-яких iнших пiдприємствах: фахiвець з методiв розширення ринку збуту (маркетолог) ТОВ "ХЕЛСI ЕНД ХЕПI", iдентифiкацiйний код 35725498), мiсцезнаходження: м. Київ, вул. Саксаганського, 39-А. </w:t>
            </w: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Мельник Iгор Борисович</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Закiнчив Вищу школу мiлiцiї МВС СССР iм. Ф.Е. Дзержинського</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 "КАПIТАЛ ГРУП", 4807946, начальник автогосподарства</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 на 3 роки</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числi у натуральнiй формi як члену Ревiзiйної комiсiї не виплачувалась (не передбачена). Непогашеної судимостi за корисливi та посадовi злочини посадова особа емiтента не має. Загальний стаж роботи - 39 рокiв. Перелiк попереднiх посад, якi обiймала особа протягом останнiх п'яти рокiв: старший водiй, начальник автогосподарства.  Посади, якi обiймає посадова особа на будь-яких iнших пiдприємствах: начальник автогосподарства ТОВ "ХЕЛСI ЕНД ХЕПI", iдентифiкацiйний код 35725498, мiсцезнаходження: м. Київ, вул. Саксаганського, 39-А. </w:t>
            </w:r>
          </w:p>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9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Iваницька Наталiя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славiстичний унiверситет, магiстр з бух.облiку та аудиту</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"К-Транс", 31916182,  Головний бухгалтер</w:t>
            </w:r>
          </w:p>
        </w:tc>
        <w:tc>
          <w:tcPr>
            <w:tcW w:w="155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05.09.2008, безстроково</w:t>
            </w:r>
          </w:p>
        </w:tc>
      </w:tr>
      <w:tr w:rsidR="00E31EDE">
        <w:trPr>
          <w:trHeight w:val="200"/>
        </w:trPr>
        <w:tc>
          <w:tcPr>
            <w:tcW w:w="9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 згiдно зi штатним розписом, в 2021 роцi було виплачено: 395433 грн.  У натуральнiй формi винагорода не виплачувалась. Непогашеної судимостi за корисливi та посадовi злочини посадова особа емiтента не має. Загальний стаж роботи - 38 рокiв. Перелiк попереднiх посад, якi обiймала особа протягом останнiх п'яти рокiв: головний бухгалтер. Посади, якi обiймає на будь-яких iнших пiдприємствах: заступник директора ТОВ "КУА ПАТРIОТ", iдентифiкацiйний код 38590189, мiсцезнаходження: м.Київ, пр..Перемоги,65 за сумiсництвом.</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6838" w:h="11906" w:orient="landscape"/>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E31EDE" w:rsidRDefault="00E31EDE">
      <w:pPr>
        <w:widowControl w:val="0"/>
        <w:autoSpaceDE w:val="0"/>
        <w:autoSpaceDN w:val="0"/>
        <w:adjustRightInd w:val="0"/>
        <w:spacing w:after="0" w:line="240" w:lineRule="auto"/>
        <w:jc w:val="center"/>
        <w:rPr>
          <w:rFonts w:ascii="Times New Roman CYR" w:hAnsi="Times New Roman CYR" w:cs="Times New Roman CYR"/>
          <w:sz w:val="28"/>
          <w:szCs w:val="28"/>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планує продовжувати здiйснювати свою дiяльнiсть щодо  надання в оренду нежитлових примiщень. </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"КАМЕТ" є правонаступником усiх прав та обов'язкiв Публiчного акцiонерного товариства "КАМЕТ", що було засноване Фондом державного майна України, шляхом перетворення Державного iнституту по автоматизацiї та механiзацiї технологiй виробництва (iнститут "КАМЕТ"), у Вiдкрите акцiонерне товариство, згiдно з наказом Фонду державного майна України №47-АТ вiд 27.10.1993 року.</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момент ПрАТ "КАМЕТ"  надає в оренду й експлуатацiю власне нерухоме майно.</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кодекси корпоративного управлiння емiтент не застосовує.</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понад визначенi законодавством вимоги не застосовується.</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w:t>
      </w:r>
      <w:r>
        <w:rPr>
          <w:rFonts w:ascii="Times New Roman CYR" w:hAnsi="Times New Roman CYR" w:cs="Times New Roman CYR"/>
          <w:b/>
          <w:bCs/>
          <w:sz w:val="24"/>
          <w:szCs w:val="24"/>
        </w:rPr>
        <w:lastRenderedPageBreak/>
        <w:t>цієї частини, обґрунтуйте причини таких дій</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 емiтент не вирiшував добровiльно застосувавати iншi кодекси корпоративного управлiння</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E31EDE">
        <w:trPr>
          <w:trHeight w:val="253"/>
        </w:trPr>
        <w:tc>
          <w:tcPr>
            <w:tcW w:w="6000" w:type="dxa"/>
            <w:gridSpan w:val="2"/>
            <w:vMerge w:val="restart"/>
            <w:tcBorders>
              <w:top w:val="single" w:sz="6" w:space="0" w:color="auto"/>
              <w:bottom w:val="nil"/>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E31EDE">
        <w:trPr>
          <w:trHeight w:val="200"/>
        </w:trPr>
        <w:tc>
          <w:tcPr>
            <w:tcW w:w="6000" w:type="dxa"/>
            <w:gridSpan w:val="2"/>
            <w:vMerge/>
            <w:tcBorders>
              <w:top w:val="nil"/>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6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6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перiодi загальнi збори акцiонерiв не скликались.</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членів ревізійної комісії </w:t>
            </w:r>
            <w:r>
              <w:rPr>
                <w:rFonts w:ascii="Times New Roman CYR" w:hAnsi="Times New Roman CYR" w:cs="Times New Roman CYR"/>
                <w:sz w:val="24"/>
                <w:szCs w:val="24"/>
              </w:rPr>
              <w:lastRenderedPageBreak/>
              <w:t>(ревізора)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роцi не скликались.</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E31EDE">
        <w:trPr>
          <w:trHeight w:val="200"/>
        </w:trPr>
        <w:tc>
          <w:tcPr>
            <w:tcW w:w="5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не скликались.</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E31EDE">
        <w:trPr>
          <w:trHeight w:val="200"/>
        </w:trPr>
        <w:tc>
          <w:tcPr>
            <w:tcW w:w="5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не скликались.</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E31EDE">
        <w:trPr>
          <w:trHeight w:val="200"/>
        </w:trPr>
        <w:tc>
          <w:tcPr>
            <w:tcW w:w="2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Сєнiчкiн Олексiй Миколайович</w:t>
            </w:r>
          </w:p>
        </w:tc>
        <w:tc>
          <w:tcPr>
            <w:tcW w:w="16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розкривається.</w:t>
            </w: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Корнейчук Наталiя Костянтинiвна</w:t>
            </w:r>
          </w:p>
        </w:tc>
        <w:tc>
          <w:tcPr>
            <w:tcW w:w="16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розкривається.</w:t>
            </w: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Ювченко Юрiй Анатолiйович</w:t>
            </w:r>
          </w:p>
        </w:tc>
        <w:tc>
          <w:tcPr>
            <w:tcW w:w="16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функцiональнi обов'язки члена наглядової ради вiдсутня, тому що iнформацiя про дiяльнiсть наглядової ради </w:t>
            </w:r>
            <w:r>
              <w:rPr>
                <w:rFonts w:ascii="Times New Roman CYR" w:hAnsi="Times New Roman CYR" w:cs="Times New Roman CYR"/>
                <w:sz w:val="24"/>
                <w:szCs w:val="24"/>
              </w:rPr>
              <w:lastRenderedPageBreak/>
              <w:t>приватними акцiонерними товариствами не розкривається.</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перiодi Наглядова рада Товариства не здiйснювала дiяльностi.</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c>
          <w:tcPr>
            <w:tcW w:w="3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наглядової ради та оцiнка її роботи приватними акцiонерними товариствами не розкривається.</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 числа фiзичних осiб, якi мають повну цивiльну дiєздатнiсть, та/або з уповноважених представникiв юридичних осiб - акцiонерiв.Членами Наглядової ради не можуть бути члени виконавчого органу або Ревiзiйної комiсiї Товариства, а також особи, якi згiдно законодавства України не можуть бути посадовими особами органiв управлiння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Новiх членiв наглядової ради не було обрано.</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за винятком Голови Ради виконують свої обов'язки на загальних засадах без отримання винагороди. Голова Наглядової ради Товариства за виконання своїх посадових обов'язкiв  отримує винагороду (грошовими коштами у виглядi заробiтної плати), у сумi, передбаченої Контрактом, що затверджується Загальними зборами акцiонерiв Товариства у межах затвердженого Кошторису Наглядової ради. Винагорода у натуральному виглядi не передбачена.</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Персональний склад </w:t>
            </w:r>
            <w:r>
              <w:rPr>
                <w:rFonts w:ascii="Times New Roman CYR" w:hAnsi="Times New Roman CYR" w:cs="Times New Roman CYR"/>
                <w:b/>
                <w:bCs/>
                <w:sz w:val="24"/>
                <w:szCs w:val="24"/>
              </w:rPr>
              <w:lastRenderedPageBreak/>
              <w:t>виконавчого органу</w:t>
            </w:r>
          </w:p>
        </w:tc>
        <w:tc>
          <w:tcPr>
            <w:tcW w:w="7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Функціональні обов'язки члена виконавчого органу</w:t>
            </w:r>
          </w:p>
        </w:tc>
      </w:tr>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Голова правлiння Лєнь Євген Олексiйович</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виконує функцiї, покладенi на нього як на керiвника пiдприємства, згiдно до законодавства України та укладеного з ним контракту, у тому числi: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керує поточними справами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скликає засiдання Правлiння;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головує на засiданнях Правлiння;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органiзує пiдготовку питань до розгляду на засiданнях Правлiння;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органiзує ведення протоколу на засiданнях Правлiння;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затверджує штатний розпис Товариства, приймає на роботу та звiльняє працiвникiв;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представляє Правлiння у взаємовiдносинах з iншими органами управлiння та контролю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забезпечує виконання рiшень Загальних зборiв, Наглядової ради, Правлiння, норм чинного законодавства, Статуту Товариства, внутрiшнiх нормативних актiв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органiзує виконання планiв дiяльностi Товариства, виконання Товариством зобов'язань перед державою i контрагентами за господарськими договорами, вимог по охоронi працi та технiки безпеки, вимог щодо охорони навколишнього природного середовища;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органiзує збереження майна Товариства i його належне використання;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органiзує ведення в Товариствi бухгалтерського облiку та статистичної звiтностi;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розробляє умови колективної угоди (договору);</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виконує iншi повноваження, покладенi на нього як на керiвника пiдприємства чинним законодавством, Загальними зборами чи Наглядовою радою Товариства.</w:t>
            </w:r>
          </w:p>
        </w:tc>
      </w:tr>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Власюк Ольга Володимирiвна</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Товариства у складi Правлiння Товариства в межах своєї компетенцiї: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здiйснює керiвництво господарською дiяльнiстю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виконує покладенi на Правлiння рiшення Загальних зборiв, окремi функцiї, якi делегували Загальнi збори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здiйснює органiзацiйно-технiчне забезпечення Загальних зборiв, Наглядової ради, Ревiзiйної комiсiї та iншi функцiї, визначенi Положенням "Про Правлiння";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планує дiяльнiсть Товариства, його фiлiй, вiддiлень;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готує проекти Статутiв дочiрнiх пiдприємств, положень про фiлiї, представництва;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виносить на розгляд Наглядової ради пропозицiї щодо призначення керiвникiв дочiрнiх пiдприємств;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дає пропозицiї з розподiлу i використання прибутку, визначення розмiрiв фондiв, якi створюються Товариством вiдповiдно до чинного законодавства України, розмiру i форми виплати дивiдендiв, виносить їх на розгляд Наглядової ради та Загальних зборiв акцiонерiв;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вступ до складу iнших господарюючих суб'єктiв та передає його на затвердження Наглядовiй радi;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приймає рiшення про придбання часток (акцiй, корпоративних </w:t>
            </w:r>
            <w:r>
              <w:rPr>
                <w:rFonts w:ascii="Times New Roman CYR" w:hAnsi="Times New Roman CYR" w:cs="Times New Roman CYR"/>
                <w:sz w:val="24"/>
                <w:szCs w:val="24"/>
              </w:rPr>
              <w:lastRenderedPageBreak/>
              <w:t>прав) в Статутних капiталах iнших господарюючих суб'єктiв або продаж часток (акцiй, корпоративних прав), що належать Товариству в Статутних капiталах iнших господарюючих суб'єктiв та передає його на затвердження Наглядовiй радi;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надає звiти про дiяльнiсть Правлiння на вимогу Наглядової ради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здiйснення будь-яких правочинiв (в т.ч. укладання угод з розпорядження рухомим та нерухомим майном Товариства, грошовими коштами, отримання кредитiв, тощо), та обов'язково отримує попередню згоду Наглядової ради, якщо отримання такої  згоди передбачено Законом;</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розробляє поточнi фiнансовi звiти;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матерiально-технiчне забезпечення господарської та iншої дiяльностi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збут продукцiї;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фiнансово-економiчну роботу, облiк i звiтнiсть, ведення грошово- розрахункових операцiй;</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зовнiшньоекономiчну дiяльнiсть;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облiк кадрiв;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роботу дочiрнiх пiдприємств, фiлiй, представництв та структурних одиниць;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роботу структурних пiдроздiлiв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соцiально-побутове обслуговування працiвникiв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архiв Товариства, забезпечує роботу канцелярiї;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взаємодiє з постачальниками товарiв та послуг, а також з споживачами продукцiї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контролює стан примiщень, споруд, обладнання;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контролює рух матерiальних та грошових цiнностей;</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делегує частину повноважень керiвникам, фiлiй, представництв i структурних одиниць Товариства.</w:t>
            </w:r>
          </w:p>
        </w:tc>
      </w:tr>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Черевань Олександр Вiкторович</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Товариства у складi Правлiння Товариства в межах своєї компетенцiї: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здiйснює керiвництво господарською дiяльнiстю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виконує покладенi на Правлiння рiшення Загальних зборiв, окремi функцiї, якi делегували Загальнi збори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здiйснює органiзацiйно-технiчне забезпечення Загальних зборiв, Наглядової ради, Ревiзiйної комiсiї та iншi функцiї, визначенi Положенням "Про Правлiння";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планує дiяльнiсть Товариства, його фiлiй, вiддiлень;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готує проекти Статутiв дочiрнiх пiдприємств, положень про фiлiї, представництва;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виносить на розгляд Наглядової ради пропозицiї щодо призначення керiвникiв дочiрнiх пiдприємств;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дає пропозицiї з розподiлу i використання прибутку, визначення розмiрiв фондiв, якi створюються Товариством вiдповiдно до чинного законодавства України, розмiру i форми виплати дивiдендiв, виносить їх на розгляд Наглядової ради та Загальних зборiв акцiонерiв;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вступ до складу iнших господарюючих суб'єктiв та передає його на затвердження Наглядовiй радi;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приймає рiшення про придбання часток (акцiй, корпоративних прав) в Статутних капiталах iнших господарюючих суб'єктiв або продаж часток (акцiй, корпоративних прав), що належать Товариству в Статутних капiталах iнших господарюючих суб'єктiв та передає його на затвердження Наглядовiй радi;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надає звiти про дiяльнiсть Правлiння на вимогу Наглядової ради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здiйснення будь-яких правочинiв (в т.ч. укладання угод з розпорядження рухомим та нерухомим майном Товариства, грошовими коштами, отримання кредитiв, тощо), та обов'язково отримує попередню згоду Наглядової ради, якщо отримання такої  згоди передбачено Законом;</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розробляє поточнi фiнансовi звiти;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матерiально-технiчне забезпечення господарської та iншої дiяльностi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збут продукцiї;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фiнансово-економiчну роботу, облiк i звiтнiсть, ведення грошово- розрахункових операцiй;</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зовнiшньоекономiчну дiяльнiсть;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облiк кадрiв;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роботу дочiрнiх пiдприємств, фiлiй, представництв та структурних одиниць;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роботу структурних пiдроздiлiв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соцiально-побутове обслуговування працiвникiв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архiв Товариства, забезпечує роботу канцелярiї;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взаємодiє з постачальниками товарiв та послуг, а також з споживачами продукцiї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контролює стан примiщень, споруд, обладнання;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контролює рух матерiальних та грошових цiнностей;</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делегує частину повноважень керiвникам, фiлiй, представництв i структурних одиниць Товариства.</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були проведенi засiдання правлiння. Загальний опис прийнятих рiшень: про змiну депозитарної установи для обслуговування рахункiв у цiнних паперах, вiдкритих для власникiв акцiй Товариства; про уповноваження Голови правлiння Товариства на вчинення дiй по вiдчуженню частки в статутному капiталi ТОВ "Каметмаш" (код 32304719) в кiлькостi 1% та вiдчуженню частки в статутному капiталi ТОВ "Радомишльська деревообробна компанiя" (код 34065060) в кiлькостi 2,831% та пiдписання вiдповiдних документiв.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Правлiння проводиться у мiру необхiдностi. Засiдання Правлiння скликаються його Головою за особистою iнiцiативою, на вимогу не менше як 1/3 членiв Правлiння. Засiдання Правлiння вважається правомочним, якщо в ньому беруть участь не менше двох членiв вiд дiючого складу членiв Правлiння.У випадку вiдсутностi на засiданнi Голови Правлiння або особи, яка тимчасово здiйснює повноваження Голови Правлiння, засiдання Правлiння вважається неправомочним. Члени Правлiння зобов'язанi брати участь у засiданнi Правлiння особисто. Кожний </w:t>
            </w:r>
            <w:r>
              <w:rPr>
                <w:rFonts w:ascii="Times New Roman CYR" w:hAnsi="Times New Roman CYR" w:cs="Times New Roman CYR"/>
                <w:sz w:val="24"/>
                <w:szCs w:val="24"/>
              </w:rPr>
              <w:lastRenderedPageBreak/>
              <w:t>член Правлiння при голосуваннi має один голос. Рiшення Правлiння приймаються простою бiльшiстю голосiв членiв Правлiння, присутнiх на засiданнi. Правлiння може прийняти рiшення про проведення письмового таємного голосування. Рiшення з питань, переданих до компетенцiї Правлiння Загальними зборами акцiонерiв, повиннi прийматися одностайно. Засiдання веде Голова Правлiння. Секретар Правлiння обирається Правлiнням з числа його членiв. Секретар Правлiння веде протокол засiдання. Ведення протоколу засiдання Правлiння є обов'язковим. Члени Правлiння, якi не згоднi з рiшенням Правлiння, можуть висловити окрему думку, яка вноситься до протоколу та доводиться до вiдома Наглядової ради Товариства i Загальних зборiв акцiонерiв Товариства. За пiдсумками голосування Правлiння приймає рiшення. На пiдставi цих рiшень та на виконання їх Голова Правлiння, видає накази та розпорядження, обов'язковi для виконання всiма працiвниками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роботи виконавчого органу; визначення, як дiяльнiсть виконавчого органу зумовила змiни у фiнансово-господарськiй дiяльностi товариства не надається, тому що вiдноситься до iнформацiї про дiяльнiсть виконавчого органу та не обов'язкова для пiдготовки приватними акцiонерними товариствами.</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E31EDE">
        <w:trPr>
          <w:trHeight w:val="200"/>
        </w:trPr>
        <w:tc>
          <w:tcPr>
            <w:tcW w:w="3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виконавчого органу, в якiй вiдображається оцiнка його роботи, а саме: дiяльностi виконавчого органу; складу (у разi якщо виконавчий орган емiтента - колегiальний); компетентностi та ефективностi виконавчого органу приватними акцiонерними товариствами не розкриваеться.</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фiнансовими  ризиками: дiяльнiсть товариства пiддається впливу безлiчi фiнансових ризикiв, включаючи ефект вiд змiни ринкових цiн, коливань валютних курсiв. Керiвництво товариства  веде полiтику, спрямовану на попередження й зменшення впливу таких ризикiв. Управлiння ризиками здiйснюється адмiнiстрацiєю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кредитними ризиками: фiнансовi iнструменти, якi потенцiйно пiддаються впливу кредитного ризику, в основному представленi торговою дебiторською заборгованiстю та грошовими коштами та еквiвалентами.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ризиком лiквiдностi: для управлiння ризиком лiквiдностi керiвництво товариства проводить полiтику управлiння активами й зобов'язаннями, спрямовану на недопущення розривiв у строках платежiв, що виражається в здатностi мобiлiзацiї лiквiдних активiв для погашення поточних зобов'язань.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має на метi забезпечення належного функцiонування внутрiшнiх процедур та полiтики, що спрямованi на мiнiмiзацiю цих ризикiв.</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Основними ризиками в дiяльностi Товариства є полiтична та економiчна нестабiльнiсть; змiни законодавства та оподаткування; iнфляцiйнi процеси в економiцi України.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невизначеностi в дiяльностi товариства полягають в наступному: економiка належить до соцiально-економiчних систем, властивостi та характеристики яких суттєво залежать вiд поведiнки людей, яка, в свою чергу, обумовлюється рiзноманiтнiстю факторiв, результат впливу яких є невiдомими або непередбачуваним; значною мiрою невизначенiсть економiчних процесiв викликана  впливом науково-технiчного прогресу, змiнами у структурi споживчого попиту, а також впливом природно-клiматичних умов; людська невизначенiсть пов'язана з неможливiстю точного прогнозу поведiнки людей в процесi роботи; технiчна невизначенiсть пов'язана з ненадiйнiстю устаткування, непередбачуваними подiями у виробничих процесах, складнiстю технологiї, рiвнем автоматизацiї, обсягами виробництва, темпами оновлення тощо; соцiальна невизначенiсть, яка характеризується прагненням людей формувати соцiальнi зв'язки i сприяти поведiнцi стосовно взаємно прийнятих зобов'язань, службових вiдносин, ролей, стимулiв, конфлiктiв, традицiй тощо.</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товариства здiйснюється як через залучення незалежного зовнiшнього аудитора (аудиторської фiрми), так i через механiзми внутрiшнього контролю.</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товариства забезпечує здiйснення стратегiчного, оперативного та поточного контролю за його фiнансово-господарською дiяльнiстю:</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наглядова рада забезпечує функцiонування належної системи контролю, а також здiйснення стратегiчного контролю за фiнансово-господарською дiяльнiстю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ревiзiйна комiсiя здiйснює оперативний контроль за фiнансово-господарською дiяльнiстю товариства шляхом проведення планових та позапланових перевiрок;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аудитор здiйснює поточний контроль за фiнансово-господарською дiяльнiстю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щорiчну аудиторську перевiрку за участю зовнiшнього аудитора, який призначається наглядовою радою або виконавчим органом товариства, якщо iнше не передбачено статутом. Аудиторська перевiрка проводиться у вiдповiдностi до мiжнародних стандартiв аудиту.</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Перед прийняттям рiшення про вчинення правочину iз заiнтересованiстю, товариство може залучити зовнiшнього аудитора або iншу особу, що має необхiдну квалiфiкацiю (суб'єкта оцiночної дiяльностi, незалежного експерта тощо) для оцiнки умов правочину нормальним ринковим умовам.</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 якi здiйснюють контроль за фiнансово-господарською дiяльнiстю товариства, мають бути незалежними вiд впливу членiв виконавчого органу товариства, власникiв крупних пакетiв акцiй, iнших осiб, якi можуть бути заiнтересованими у результатах проведення контролю.</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забезпечує проведення об'єктивного та професiйного контролю за його фiнансово-господарською дiяльнiстю.</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 якi здiйснюють контроль за фiнансово-господарською дiяльнiстю товариства, звiтують про результати перевiрок наглядовiй радi та загальним зборам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4884"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3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iншi органiзацiйнi, фiнансовi, розпорядчi документи</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E31EDE">
        <w:trPr>
          <w:trHeight w:val="182"/>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E31EDE">
        <w:trPr>
          <w:trHeight w:val="182"/>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31EDE">
        <w:trPr>
          <w:trHeight w:val="182"/>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182"/>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31EDE">
        <w:trPr>
          <w:trHeight w:val="182"/>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182"/>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70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Iнший орган не приймав рiшення про затвердження зовнiшнього аудитора.</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7000" w:type="dxa"/>
            <w:gridSpan w:val="2"/>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31EDE">
        <w:trPr>
          <w:trHeight w:val="200"/>
        </w:trPr>
        <w:tc>
          <w:tcPr>
            <w:tcW w:w="250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Доручень вiд iнших органiв не було.</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E31EDE">
        <w:trPr>
          <w:trHeight w:val="200"/>
        </w:trPr>
        <w:tc>
          <w:tcPr>
            <w:tcW w:w="892"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E31EDE">
        <w:trPr>
          <w:trHeight w:val="200"/>
        </w:trPr>
        <w:tc>
          <w:tcPr>
            <w:tcW w:w="892"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АВРИС ЛIМIТЕД (AVRYS LIMITED)</w:t>
            </w:r>
          </w:p>
        </w:tc>
        <w:tc>
          <w:tcPr>
            <w:tcW w:w="3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НЕ227883</w:t>
            </w:r>
          </w:p>
        </w:tc>
        <w:tc>
          <w:tcPr>
            <w:tcW w:w="2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75,24659</w:t>
            </w:r>
          </w:p>
        </w:tc>
      </w:tr>
      <w:tr w:rsidR="00E31EDE">
        <w:trPr>
          <w:trHeight w:val="200"/>
        </w:trPr>
        <w:tc>
          <w:tcPr>
            <w:tcW w:w="892"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"Компанiя з управлiння активами "Патрiот" ((Пайовий недиверсифiкований венчурний iнвестицiйний фонд закритого типу "Патрiот-2")</w:t>
            </w:r>
          </w:p>
        </w:tc>
        <w:tc>
          <w:tcPr>
            <w:tcW w:w="3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38590189-</w:t>
            </w:r>
          </w:p>
        </w:tc>
        <w:tc>
          <w:tcPr>
            <w:tcW w:w="2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23,95</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інформація про будь-які обмеження прав участі та голосування акціонерів (учасників) на </w:t>
      </w:r>
      <w:r>
        <w:rPr>
          <w:rFonts w:ascii="Times New Roman CYR" w:hAnsi="Times New Roman CYR" w:cs="Times New Roman CYR"/>
          <w:b/>
          <w:bCs/>
          <w:sz w:val="24"/>
          <w:szCs w:val="24"/>
        </w:rPr>
        <w:lastRenderedPageBreak/>
        <w:t>загальних зборах емітента</w:t>
      </w:r>
    </w:p>
    <w:p w:rsidR="00E31EDE" w:rsidRDefault="00E31ED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E31EDE">
        <w:trPr>
          <w:trHeight w:val="200"/>
        </w:trPr>
        <w:tc>
          <w:tcPr>
            <w:tcW w:w="1892"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E31EDE">
        <w:trPr>
          <w:trHeight w:val="200"/>
        </w:trPr>
        <w:tc>
          <w:tcPr>
            <w:tcW w:w="1892"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88 000</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680</w:t>
            </w:r>
          </w:p>
        </w:tc>
        <w:tc>
          <w:tcPr>
            <w:tcW w:w="4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голосування акцiонерiв на загальних зборах вiдповiдно до вимог пункту 10 роздiлу VI Закону України "Про депозитарну систему України"</w:t>
            </w:r>
          </w:p>
        </w:tc>
        <w:tc>
          <w:tcPr>
            <w:tcW w:w="2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E31EDE">
        <w:trPr>
          <w:trHeight w:val="200"/>
        </w:trPr>
        <w:tc>
          <w:tcPr>
            <w:tcW w:w="1892"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голосування акцiонерiв на загальних зборах вiдповiдно до вимог пункту 10 роздiлу VI Закону України "Про депозитарну систему України"</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Члени Наглядової ради Товариства обираються виключно з числа фiзичних осiб, якi мають повну цивiльну дiєздатнiсть, та/або з числа уповноважених представникiв  акцiонерiв. Юридична особа-акцiонер може мати не бiльше 3 (трьох) представникiв у Наглядовiй радi. Члени Наглядової ради обираються акцiонерами пiд час проведення загальних зборiв товариства строком на 3 (три) роки. Член наглядової ради, обраний як представник акцiонера може бути замiнений таким акцiонером у будь-який час. Повноваження члена наглядової ради дiйснi з моменту його обрання загальними зборами.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акцiонерним товариством письмового повiдомлення вiд акцiонера, представником якого є вiдповiдний член наглядової ради. Повiдомлення про замiну члена наглядової ради - представника акцiонера повинно мiстити iнформацiю про нового члена наглядової ради, який призначається на замiну вiдкликаного. Наглядова рада складається з  3 (трьох) осiб. Член Наглядової ради не може бути одночасно членом Правлiння та/або членом Ревiзiйної комiсiї Товариства. Головою та членами Наглядової ради не можуть бути особи, яким згiдно iз законодавством України заборонено обiймати посади в органах управлiння господарських товариств. Роботою Наглядової ради керує Голова Наглядової ради, який обирається Наглядовою радою Товариства з числа її членiв простою бiльшiстю голосiв членiв Наглядової ради, присутнiх на засiданнi або тих що приймають участь у заочному голосуваннi (опитуваннi). Обмеження щодо обрання особи Головою наглядової ради встановлюються Законом.Наглядова рада має право в будь-який час переобрати Голову Наглядової ради.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можуть прийняти рiшення про дострокове припинення повноважень членiв Наглядової ради та одночасне обрання нових членiв. При цьому, рiшення про дострокове припинення повноважень членiв Наглядової ради може бути прийнято тiльки стосовно всiх членiв Наглядової ради тобто стосовно повного її складу. Без рiшення Загальних зборiв повноваження члена Наглядової ради припиняються: за його бажанням за умови письмового повiдомлення про це товариства за два тижнi; в разi неможливостi виконання обов'язкiв члена наглядової ради за станом здоров'я;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в разi смертi, визнання його недiєздатним, обмежено дiєздатним, безвiсно вiдсутнiм, померлим; у разi отримання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договору (контракту), укладеного з ним.</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Членом правлiння товариства може бути будь-яка фiзична особа, яка має повну цивiльну дiєздатнiсть i не є членом Наглядової ради чи ревiзiйної комiсiї Товариства. Правлiння обриється Наглядовою Радою Товариства у кiлькостi 3 (трьох) осiб. Обранi члени Правлiння </w:t>
      </w:r>
      <w:r>
        <w:rPr>
          <w:rFonts w:ascii="Times New Roman CYR" w:hAnsi="Times New Roman CYR" w:cs="Times New Roman CYR"/>
          <w:sz w:val="24"/>
          <w:szCs w:val="24"/>
        </w:rPr>
        <w:lastRenderedPageBreak/>
        <w:t>виконують свої обов'язки вiд моменту обрання до закiнчення термiну повноважень, а саме до моменту їх переобрання. Голова правлiння обирається Наглядовою радою Товариства.Повноваження Голови Правлiння припиняються за рiшенням Наглядової ради з одночасним прийняттям рiшення про призначення голови колегiального виконавчого органу (Правлiння) або особи, яка тимчасово здiйснюватиме його повноваження. Повноваження Голови або членiв Правлiння можуть бути достроково припиненi Наглядовою радою Товариства незалежно вiд причин такого припинення.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Члени Ревiзiйної комiсiї обираються Загальними зборами акцiонерiв виключно шляхом кумулятивного голосування з числа фiзичних осiб, якi мають повну цивiльну дiєздатнiсть, та/або з числа юридичних осiб - акцiонерiв. Члени Ревiзiйної комiсiї обираються не рiдше нiж один раз на 3 (три) роки, у кiлькостi 3 (трьох) осiб. Голова Ревiзiйної комiсiї обирається членами Ревiзiйної комiсiї з їх числа простою бiльшiстю голосiв вiд кiлькiсного складу Ревiзiйної комiсiї. Ревiзiйна комiсiя має право в будь-який час переобрати Голову Ревiзiйної комiсiї бiльшiстю голосiв вiд загальної кiлькостi членiв Ревiзiйної комiсiї.Обранi члени Ревiзiйної комiсiї виконують свої обов'язки з моменту обрання на Загальних зборах акцiонерiв до закiнчення термiну повноважень.Пiсля закiнчення термiну повноваження членiв Ревiзiйної комiсiї дiйснi до обрання Загальними зборами акцiонерiв наступного складу Ревiзiйної комiсiї або до припинення повноважень у випадках, передбачених Статутом Товариства.Членами Ревiзiйної комiсiї Товариства не можуть бути члени Наглядової ради, виконавчого органу Товариства та iншi особи, яким згiдно з законодавством України заборонено бути членами Ревiзiйної комiсiї.</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Наглядова рада товариства є органом, що здiйснює захист прав акцiонерiв товариства, i в межах компетенцiї контролює та регулює дiяльнiсть виконавчого органу. Повноваження Наглядової ради: отримувати будь-яку iнформацiю та документи Товариства, необхiднi для виконання своїх функцiй; отримувати копiї документiв, а також копiї документiв дочiрнiх пiдприємств Товариства; заслуховувати звiти Голови правлiння, посадових осiб Товариства з окремих питань дiяльностi Товариства; залучати експертiв до аналiзу окремих питань дiяльностi Товариства; затвердження в межах своєї компетенцiї положень, якими регулюються питання, пов'язанi з дiяльнiстю товариства; затвердження звiту про винагороду членiв виконавчого органу товариства;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формування тимчасової лiчильної комiсiї у разi скликання позачергових загальних зборiв акцiонерiв; затвердження форми тексту бюлетеня для голосування; прийняття рiшення про проведення чергових або позачергових загальних зборiв товариства ; прийняття рiшення про продаж ранiше викуплених товариством акцiй; прийняття рiшення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Законом; обрання та припинення повноважень Голови i членiв Правлiння; затвердження умов контрактiв, якi укладатимуться з членами Правлiння, встановлення розмiру їх винагороди; 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 обрання та припинення повноважень голови i членiв iнших органiв товариства та керiвника внутрiшнього аудиту (внутрiшнього аудитора); затвердження умов трудових договорiв, що укладаються з працiвниками пiдроздiлу внутрiшнього аудиту (з внутрiшнiм аудитором), встановлення розмiру їхньої винагороди, у тому числi заохочувальних та компенсацiйних виплат; здiйснення контролю за своєчаснiстю надання (опублiкування) товариством достовiрної iнформацiї про його дiяльнiсть вiдповiдно до законодавства; розгляд звiту виконавчого органу та затвердження заходiв за результатами його розгляду у разi вiднесення статутом товариства питання про призначення та звiльнення голови та членiв виконавчого органу до виключної компетенцiї наглядової ради; обрання Реєстрацiйної комiсiї, </w:t>
      </w:r>
      <w:r>
        <w:rPr>
          <w:rFonts w:ascii="Times New Roman CYR" w:hAnsi="Times New Roman CYR" w:cs="Times New Roman CYR"/>
          <w:sz w:val="24"/>
          <w:szCs w:val="24"/>
        </w:rPr>
        <w:lastRenderedPageBreak/>
        <w:t>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 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частиною другою ст. 30 Закону України "Про акцiонернi товариства";  визначення дати складення перелiку акцiонерiв, якi мають бути повiдомленi про проведення загальних зборiв вiдповiдно до частини першої ст. 35 Закону України "Про акцiонернi товариства" та мають право на участь у загальних зборах; вирiшення питань про участь товариства у промислово-фiнансових групах та iнших об'єднаннях; вирiшення питань про створення та/або участь в будь-яких юридичних особах, їх реорганiзацiю та лiквiдацiю; вирiшення питань про створення, реорганiзацiю та/або лiквiдацiю структурних та/або вiдокремлених пiдроздiлiв товариства; вирiшення питань, вiднесених до компетенцiї наглядової ради роздiлом XVI Закону України "Про акцiонернi товариства", у разi злиття, приєднання, подiлу, видiлу або перетворення товариства; прийняття рiшення про надання згоди на вчинення значного правочину або про попереднє надання згоди на вчинення такого правочину та про надання згоди на вчинення правочинiв iз заiнтересованiстю;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 надсилання оферти акцiонерам вiдповiдно до статей 65-65-1  Закону України "Про акцiонернi товариства"; обрання особи, яка вiдкриває Загальнi збори акцiонерiв та головує на них. Голова Наглядової ради: органiзовує роботу Наглядової ради; скликає засiдання Наглядової ради та головує на них; органiзовує на засiданнях ведення протоколу, забезпечує зберiгання книги протоколiв Наглядової ради.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Виконавчим органом Товариства, який здiйснює управлiння поточною дiяльнiстю Товариства є Правлiння Товариства, яке очолює Голова правлiння.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Повноваження Правлiння: здiйснює керiвництво господарською дiяльнiстю Товариства; виконує покладенi на Правлiння рiшення Загальних зборiв, окремi функцiї, якi делегували Загальнi збори Товариства; здiйснює органiзацiйно-технiчне забезпечення Загальних зборiв, Наглядової ради, Ревiзiйної комiсiї та iншi функцiї, визначенi Положенням "Про Правлiння"; планує дiяльнiсть Товариства, його фiлiй, вiддiлень; готує проекти Статутiв дочiрнiх пiдприємств, положень про фiлiї, представництва; виносить на розгляд Наглядової ради пропозицiї щодо призначення керiвникiв дочiрнiх пiдприємств; дає пропозицiї з розподiлу i використання прибутку, визначення розмiрiв фондiв, якi створюються Товариством вiдповiдно до чинного законодавства України, розмiру i форми виплати дивiдендiв, виносить їх на розгляд Наглядової ради та Загальних зборiв акцiонерiв; приймає рiшення про вступ до складу iнших господарюючих суб'єктiв та передає його на затвердження Наглядовiй радi; приймає рiшення про придбання часток (акцiй, корпоративних прав) в Статутних капiталах iнших господарюючих суб'єктiв або продаж часток (акцiй, корпоративних прав), що належать Товариству в Статутних капiталах iнших господарюючих суб'єктiв та передає його на затвердження Наглядовiй радi; надає звiти про дiяльнiсть Правлiння на вимогу Наглядової ради Товариства; приймає рiшення про здiйснення будь-яких правочинiв (в т.ч. укладання угод з розпорядження рухомим та нерухомим майном Товариства, грошовими коштами, отримання кредитiв, тощо), та обов'язково отримує попередню згоду Наглядової ради, якщо отримання такої  згоди передбачено Законом; розробляє поточнi фiнансовi звiти; </w:t>
      </w:r>
      <w:r>
        <w:rPr>
          <w:rFonts w:ascii="Times New Roman CYR" w:hAnsi="Times New Roman CYR" w:cs="Times New Roman CYR"/>
          <w:sz w:val="24"/>
          <w:szCs w:val="24"/>
        </w:rPr>
        <w:lastRenderedPageBreak/>
        <w:t>органiзовує матерiально-технiчне забезпечення господарської та iншої дiяльностi Товариства; органiзовує збут продукцiї; органiзовує фiнансово-економiчну роботу, облiк i звiтнiсть, ведення грошово- розрахункових операцiй; органiзовує зовнiшньоекономiчну дiяльнiсть; органiзовує облiк кадрiв; органiзовує роботу дочiрнiх пiдприємств, фiлiй, представництв та структурних одиниць; органiзовує роботу структурних пiдроздiлiв Товариства; органiзовує соцiально-побутове обслуговування працiвникiв Товариства; органiзовує архiв Товариства, забезпечує роботу канцелярiї; взаємодiє з постачальниками товарiв та послуг, а також з споживачами продукцiї Товариства; контролює стан примiщень, споруд, обладнання; контролює рух матерiальних та грошових цiнностей; делегує частину повноважень керiвникам, фiлiй, представництв i структурних одиниць Товариства. Правлiння здiйснює пiдготовку до проведення та забезпечує проведення Загальних зборiв, забезпечує та сприяє дiяльностi Наглядової ради та Ревiзiйної комiсiї Товариства.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має право без довiреностi дiяти вiд iменi Товариства, вiдповiдно до рiшень Правлiння,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 До компетенцiї Голови правлiння Товариства належать: вирiшення кадрових питань Товариства, затвердження штатного розпису Товариства; визначення посадових окладiв, форм та систем оплати працi працiвникiв Товариства та iнших осiб, що залучаються до роботи згiдно iз законодавством України; винесення рiшень про притягнення до майнової вiдповiдальностi працiвникiв Товариства (за винятком посадових осiб Товариства); органiзацiя поточного контролю за оперативною дiяльнiстю Товариства; право пiдпису вiд iменi Товариства довiреностей; вiдкриття рахункiв у банках та iнших фiнансових установах; укладення та пiдписання вiд iменi Товариства будь-яких договорiв, угод, контрактiв, у тому числi, пов'язаних з вiдчуженням або списанням майна Товариства, залученням кредитних коштiв та заставою майна Товариства,  органiзацiя  їх виконання, змiни, їх розiрвання, у межах повноважень, наданих Статутом;  видання наказiв та розпоряджень з питань дiяльностi Товариства; розпорядження вiдповiдно до Статуту та законодавства України майном та коштами Товариства; приймання та звiльнення з роботи працiвникiв Товариства, застосування заходiв заохочення та дисциплiнарного стягнення; призначення та звiльнення з посади керiвникiв пiдроздiлiв, призначення яких не входить до компетенцiї Загальних зборiв чи Наглядової ради Товариства; затвердження зразкiв печаток, штампiв, фiрмових бланкiв; фiрмового знаку, а також iнших реквiзитiв; подання на затвердження Загальним зборам рiчного звiту i балансу Товариства, висновкiв незалежного аудитора та Ревiзора Товариства; забезпечення виконання рiшень Загальних зборiв та Наглядової ради; органiзацiя та забезпечення проведення Загальних зборiв; пiдписання вiд iменi Товариства, затвердженого Загальними зборами акцiонерiв Статуту (його нової редакцiї) та/або змiн (доповнень) до Статуту Товариства; виконання iнших функцiй, якi випливають з Статуту, законодавства України або переданi йому за рiшенням iнших органiв Товариства. Голова правлiння видає накази та розпорядження, обов'язковi для виконання всiма працiвниками Товариства. </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Повноваження Ревiзiйної комiсiї: Ревiзiйна комiсiя має право вносити пропозицiї до порядку денного загальних зборiв та вимагати скликання позачергових загальних зборiв. Члени Ревiзiйної комiсiї мають право бути присутнiми на Загальних зборах акцiонерiв та брати участь в обговореннi питань порядку денного з правом дорадчого голосу. Члени Ревiзiйної комiсiї мають право брати участь у засiданнях Наглядової ради та виконавчого органу у випадках, передбачених Законом "Про акцiонернi товариства", Статутом або внутрiшнiми положеннями товариства. Ревiзiйна комiсiя проводить перевiрку фiнансово-господарської дiяльностi Товариства за результатами фiнансового року. Ревiзiйна комiсiя Товариства здiйснює свою дiяльнiсть шляхом проведення планових та позапланових перевiрок документацiї Товариства, а також службових розслiдувань за фактами виявлених порушень. Ревiзiйна комiсiя Товариства проводить службовi розслiдування за рiшенням Загальних зборiв акцiонерiв або Наглядової ради Товариства про залучення до участi у перевiрцi за рахунок Товариства незалежних аудиторiв, </w:t>
      </w:r>
      <w:r>
        <w:rPr>
          <w:rFonts w:ascii="Times New Roman CYR" w:hAnsi="Times New Roman CYR" w:cs="Times New Roman CYR"/>
          <w:sz w:val="24"/>
          <w:szCs w:val="24"/>
        </w:rPr>
        <w:lastRenderedPageBreak/>
        <w:t>експертiв та спецiалiстiв. Ревiзiйна комiсiя в межах своєї компетенцiї розглядає: фiнансово господарську дiяльнiсть Товариства, його фiлiй, представництв i дочiрнiх пiдприємств; дотримання визначених Загальними зборами основних напрямкiв дiяльностi Товариства i його планiв; дотримання дiючого законодавства України; виконання рiшень Правлiння з питань фiнансово-господарської дiяльностi, правильностi зроблених розрахункiв; здiйснення договiрних зобов'язань, контрактiв i угод по основних видах дiяльностi, трудовим, фiнансовим i матерiальним ресурсам, роботi з усiма видами цiнних паперiв; правильнiсть ведення бухгалтерського облiку, iнших форм звiтностi, вiрогiдностi i законностi вiдображених в облiку i звiтностi операцiй, стан каси i майна Товариства; своєчаснiсть i правильнiсть розрахункiв з бюджетом, банкiвськими установами, постачальниками, пiдрядчиками тощо; використання коштiв резервного капiталу i прибутку; виконання рiшень i вказiвок по усуненню недолiкiв, установленими попереднiми ревiзiями; ведення розрахункiв з учасниками при внесеннi ними внескiв та виходi iз Товариства; матерiали, що дають пiдставу для проведення службових розслiдувань, проводить також розслiдування i затверджує їхнi висновки. Члени Ревiзiйної комiсiї Товариства мають право: вимагати надання всiх документiв, необхiдних для проведення перевiрок та розслiдувань; вимагати особистих пояснень посадових осiб Товариства; брати участь з правом дорадчого голосу в засiданнях Наглядової ради Товариства; проводити службовi розслiдування; вносити на розгляд Загальних зборiв акцiонерiв або Наглядової ради Товариства питання стосовно дiяльностi посадових осiб Товариства; вимагати залучення до участi в перевiрках працiвникiв Товариства; Голова Ревiзiйної комiсiї: керує роботою Ревiзiйної комiсiї та розподiляє обов`язки мiж її членами; скликає засiдання Ревiзiйної комiсiї; головує на засiданнях Ревiзiйної комiсiї; органiзує пiдготовку питань до розгляду на засiданнях Ревiзiйної комiсiї; органiзує ведення протоколiв засiдань Ревiзiйної комiсiї; пiдписує протоколи засiдань Ревiзiйної комiсiї та iншi документи, якi затвердженi (прийнятi) Ревiзiйною комiсiєю або складенi на виконання прийнятого Ревiзiйною комiсiєю рiшення; забезпечує виконання рiшень Загальних зборiв та Наглядової ради в межах компетенцiї Ревiзiйної комiсiї; представляє Ревiзiйну комiсiю у взаємовiдносинах з iншими органами управлiння Товариства, з органами державної влади й управлiння та з третiми особами; виконує iншi функцiї, якi визначенi Статутом, Положенням "Про Ревiзiйну комiсiю", або рiшенням Загальних зборiв акцiонерiв Товариства.</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незалежного аудитора Товариства з обмеженою вiдповiдальнiстю "Аудиторська фiрма "Венгер i Партнери" вiд 11.07.2022 р. зазначена наступна iнформацiя:</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формування нашого професiйного судження та висловлення думки щодо дотримання Товариством положень законодавчих та нормативних актiв, нами розглянутi наступнi питання та сформованi вiдповiднi висновки.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статтi 19 Закону України "Про акцiонернi товариства", затвердженого Верховною Радою Украйни 17.09.2008 за № №514-VI (з врахуванням всiх змiн та доповнень), резервний капiтал формується у розмiрi не менше нiж 15 вiдсоткiв статутного капiталу товариства шляхом щорiчних вiдрахувань вiд чистого прибутку Товариства або за рахунок нерозподiленого прибутку. До досягнення встановленого статутом розмiру резервного капiталу розмiр щорiчних вiдрахувань не може бути меншим нiж 5 вiдсоткiв суми чистого прибутку товариства за рiк. На звiтну дату Товариством створено резервний фонд вiдповiдно до вимог Закону України "Про акцiонернi товариства".</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Формування органiв корпоративного управлiння ПрАТ "КАМЕТ" здiйснюється вiдповiдно до Статуту, затвердженого Загальними Зборами Акцiонерiв. Вищим органом управлiння Товариства є Загальнi збори. Виконавчим органом Товариства, який здiйснює управлiння поточною </w:t>
      </w:r>
      <w:r>
        <w:rPr>
          <w:rFonts w:ascii="Times New Roman CYR" w:hAnsi="Times New Roman CYR" w:cs="Times New Roman CYR"/>
          <w:sz w:val="24"/>
          <w:szCs w:val="24"/>
        </w:rPr>
        <w:lastRenderedPageBreak/>
        <w:t>дiяльнiстю Товариства є Правлiння. Для здiйснення контролю за фiнансово-господарською дiяльнiстю Товариства Загальнi збори обирають Ревiзора. У приватних акцiонерних товариствах з кiлькiстю акцiонерiв 10 i бiльше осiб створення наглядової ради є обов'язковим (п. 2 ст. 51 Закону України "Про акцiонернi товариства"). Протоколом №35 чергових Загальних зборiв акцiонерiв вiд 26.04.2019 року обрано членiв Наглядової ради Товариства . Наглядова рада Товариства є органом, що здiйснює захист прав акцiонерiв Товариства, i в межах компетенцiї, визначеної Статутом, Положенням про Наглядову раду та чинним законодавством, контролює та регулює дiяльнiсть Правлiння. В цiлому, стан корпоративного управлiння ПрАТ "КАМЕТ" вiдповiдає дiючому законодавству України.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Нами перевiрено iнформацiю, наведену в Звiтi з корпоративного управлiння ПрАТ "КАМЕТ", та не виявлено розбiжностей з фiнансовою звiтнiстю Товариства за 2021 рiк.</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п.2 ст.32 Закону України "Про акцiонернi товариства" акцiонерне товариство зобов'язане щороку скликати загальнi збори (рiчнi загальнi збори). Рiчнi загальнi збори товариства проводяться не пiзнiше 30 квiтня наступного за звiтним року. Аудитором пiдтверджується, що Товариством виконуються вимоги щодо щорiчного скликання загальних зборiв, на якi виносяться зокрема наступнi питання: затвердження рiчного звiту товариства, розподiл прибутку i збиткiв товариства з урахуванням вимог, передбачених законом, прийняття рiшення за наслiдками розгляду звiту наглядової ради, звiту виконавчого органу, звiту ревiзiйної комiсiї.</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протягом 2021 року не вчинювались значнi правочини."</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sectPr w:rsidR="00E31EDE">
          <w:pgSz w:w="12240" w:h="15840"/>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E31EDE">
        <w:trPr>
          <w:trHeight w:val="200"/>
        </w:trPr>
        <w:tc>
          <w:tcPr>
            <w:tcW w:w="3300"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31EDE">
        <w:trPr>
          <w:trHeight w:val="200"/>
        </w:trPr>
        <w:tc>
          <w:tcPr>
            <w:tcW w:w="3300"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31EDE">
        <w:trPr>
          <w:trHeight w:val="200"/>
        </w:trPr>
        <w:tc>
          <w:tcPr>
            <w:tcW w:w="33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Компанiя "AVRYS LIMITED"</w:t>
            </w:r>
          </w:p>
        </w:tc>
        <w:tc>
          <w:tcPr>
            <w:tcW w:w="14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НЕ22788</w:t>
            </w:r>
          </w:p>
        </w:tc>
        <w:tc>
          <w:tcPr>
            <w:tcW w:w="2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1097, Кiпр, м. Нiкосiя, вулиця Дiагороу, корпус Кермiя, кв 104</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66 217</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75,24659</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66 217</w:t>
            </w:r>
          </w:p>
        </w:tc>
        <w:tc>
          <w:tcPr>
            <w:tcW w:w="2121"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3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"Компанiя з управлiння активами "Патрiот" ((Пайовий недиверсифiкований венчурний iнвестицiйний фонд закритого типу "Патрiот-2")</w:t>
            </w:r>
          </w:p>
        </w:tc>
        <w:tc>
          <w:tcPr>
            <w:tcW w:w="14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38590189-23300188</w:t>
            </w:r>
          </w:p>
        </w:tc>
        <w:tc>
          <w:tcPr>
            <w:tcW w:w="2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03117, м.Київ, пр-т Перемоги, 65</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21 076</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23,95</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21 076</w:t>
            </w:r>
          </w:p>
        </w:tc>
        <w:tc>
          <w:tcPr>
            <w:tcW w:w="2121"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E31EDE">
        <w:trPr>
          <w:trHeight w:val="200"/>
        </w:trPr>
        <w:tc>
          <w:tcPr>
            <w:tcW w:w="7000" w:type="dxa"/>
            <w:gridSpan w:val="3"/>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31EDE">
        <w:trPr>
          <w:trHeight w:val="200"/>
        </w:trPr>
        <w:tc>
          <w:tcPr>
            <w:tcW w:w="7000" w:type="dxa"/>
            <w:gridSpan w:val="3"/>
            <w:tcBorders>
              <w:top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7000" w:type="dxa"/>
            <w:gridSpan w:val="3"/>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87 293</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99,19659</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87 293</w:t>
            </w:r>
          </w:p>
        </w:tc>
        <w:tc>
          <w:tcPr>
            <w:tcW w:w="2121"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6838" w:h="11906" w:orient="landscape"/>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E31EDE" w:rsidRDefault="00E31ED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E31EDE">
        <w:trPr>
          <w:trHeight w:val="300"/>
        </w:trPr>
        <w:tc>
          <w:tcPr>
            <w:tcW w:w="2462"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E31EDE">
        <w:trPr>
          <w:trHeight w:val="300"/>
        </w:trPr>
        <w:tc>
          <w:tcPr>
            <w:tcW w:w="2462"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88 000</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250,00</w:t>
            </w:r>
          </w:p>
        </w:tc>
        <w:tc>
          <w:tcPr>
            <w:tcW w:w="5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Кожною простою акцiєю Товариства її власнику - акцiонеру надається однакова сукупнiсть прав. Одна проста акцiя Товариства надає акцiонеру один голос для вирiшення кожного питання на Загальних зборах акцiонерiв, окрiм випадкiв проведення кумулятивного голосування.Акцiонери, мають право: Брати участь в управлiннi Товариством. Брати участь у розподiлi прибутку Товариства та одержувати його частку (дивiденди). Отримувати iнформацiю про господарську дiяльнiсть Товариства. Вносити пропозицiї на розгляд Загальних зборiв та iнших органiв Товариства.У разi емiсiї Товариством додаткових акцiй користуватися переважним правом на придбання додатково розмiщуваних акцiй Товариства в кiлькостi, пропорцiйнiй частцi належних акцiонеру простих акцiй у загальнiй кiлькостi простих акцiй. У разi лiквiдацiї Товариства отримувати частину майна Товариства або його вартостi пропорцiйно до вартостi належних їм акцiй Товариства. Продавати чи iншим чином вiдчужувати належнi йому акцiї без згоди iнших акцiонерiв та Товариства. Акцiонер товариства має переважне право на придбання акцiй додаткової емiсiї. Вимагати викупу Товариством всiх чи частини належних акцiонеру акцiй у випадках i в порядку, передбачених законодавством України i Статутом. Продати акцiї Товариству в разi, якщо Товариством прийнято рiшення про придбання таких акцiй. У випадках, передбачених законодавством України захищати в судовому порядку свої порушенi цивiльнi права, в тому числi вимагати вiд Товариства вiдшкодування збиткiв. Акцiонери (акцiонер), якi сукупно є власниками 5 або бiльше вiдсоткiв простих акцiй Товариства вiд загальної кiлькостi розмiщених голосуючих акцiй Товариства на дату внесення пропозицiй, мають право внести пропозицiї до порядку денного Загальних зборiв в порядку, передбаченому законодавством України. Акцiонери (акцiонер), якi </w:t>
            </w:r>
            <w:r>
              <w:rPr>
                <w:rFonts w:ascii="Times New Roman CYR" w:hAnsi="Times New Roman CYR" w:cs="Times New Roman CYR"/>
                <w:sz w:val="20"/>
                <w:szCs w:val="20"/>
              </w:rPr>
              <w:lastRenderedPageBreak/>
              <w:t>сукупно є власниками 10 або бiльше вiдсоткiв простих акцiй Товариства вiд загальної кiлькостi розмiщених голосуючих акцiй Товариства, мають право: призначати своїх представникiв для нагляду за реєстрацiєю акцiонерiв, проведенням Загальних зборiв, голосуванням та пiдбиттям його пiдсумкiв; вимагати, а в передбачених законодавством України випадках -  скликати позачерговi Загальнi збори акцiонерiв Товариства. Акцiонери (акцiонер), якi сукупно є власниками бiльше нiж 10 вiдсоткiв акцiй Товариства вiд загальної кiлькостi розмiщених голосуючих акцiй Товариства, мають право вимагати проведення аудиторської перевiрки дiяльностi Товариства. Акцiонери зобов'язанi: Дотримуватися Статуту, iнших внутрiшнiх документiв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порядку та засобами, що передбаченi Статутом. Не розголошувати комерцiйну таємницю та конфiденцiйну iнформацiю про дiяльнiсть Товариства. Акцiонери Товариства вправi укласти мiж собою договiр, за яким на акцiонерiв покладаються додатковi обов'язки, у тому числi обов'язок участi у Загальних зборах акцiонерiв, i передбачається вiдповiдальнiсть за його порушення. Акцiонери можуть вiдчужувати належнi їм акцiї без згоди iнших акцiонерiв Товариства.</w:t>
            </w:r>
          </w:p>
        </w:tc>
        <w:tc>
          <w:tcPr>
            <w:tcW w:w="3621"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0"/>
          <w:szCs w:val="20"/>
        </w:rPr>
        <w:sectPr w:rsidR="00E31EDE">
          <w:pgSz w:w="16838" w:h="11906" w:orient="landscape"/>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E31EDE">
        <w:trPr>
          <w:trHeight w:val="200"/>
        </w:trPr>
        <w:tc>
          <w:tcPr>
            <w:tcW w:w="12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E31EDE">
        <w:trPr>
          <w:trHeight w:val="200"/>
        </w:trPr>
        <w:tc>
          <w:tcPr>
            <w:tcW w:w="12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31EDE">
        <w:trPr>
          <w:trHeight w:val="200"/>
        </w:trPr>
        <w:tc>
          <w:tcPr>
            <w:tcW w:w="125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28.01.2010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02/10/1/10</w:t>
            </w:r>
          </w:p>
        </w:tc>
        <w:tc>
          <w:tcPr>
            <w:tcW w:w="24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UA4000123152</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88 000</w:t>
            </w:r>
          </w:p>
        </w:tc>
        <w:tc>
          <w:tcPr>
            <w:tcW w:w="14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22 000 000</w:t>
            </w:r>
          </w:p>
        </w:tc>
        <w:tc>
          <w:tcPr>
            <w:tcW w:w="14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E31EDE">
        <w:trPr>
          <w:trHeight w:val="200"/>
        </w:trPr>
        <w:tc>
          <w:tcPr>
            <w:tcW w:w="12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реєстрацiю випуску акцiй № 02/10/1/10 дата реєстрацiї 28.01.2010 р., видане 10.06.2011р, Територiальним управлiнням Державної комiсiї з цiнних паперiв та фондового ринку в м. Києвi та Київськiй областi у зв'язку iз змiною найменування. Спосiб розмiщення - при змiнi найменування розмiщення не здiйснювалось. Дострокове погашення не передбачено.</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Торговля акцiями Товариства на зовнiшнiх ринках не здiйснюється. Акцiї Товариство вiльно обертаються на територiї України. В звiтному роцi фактiв включення/виключення цiнних паперiв емiтента до/з бiржового реєстру фондової бiржi не було. Протягом звiтного перiоду Товариство не здiйснювало випускiв акцiй та iнших видiв цiнних паперiв.</w:t>
            </w:r>
          </w:p>
          <w:p w:rsidR="00E31EDE" w:rsidRDefault="00E31EDE">
            <w:pPr>
              <w:widowControl w:val="0"/>
              <w:autoSpaceDE w:val="0"/>
              <w:autoSpaceDN w:val="0"/>
              <w:adjustRightInd w:val="0"/>
              <w:spacing w:after="0" w:line="240" w:lineRule="auto"/>
              <w:jc w:val="both"/>
              <w:rPr>
                <w:rFonts w:ascii="Times New Roman CYR" w:hAnsi="Times New Roman CYR" w:cs="Times New Roman CYR"/>
              </w:rPr>
            </w:pP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6838" w:h="11906" w:orient="landscape"/>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E31EDE" w:rsidRDefault="00E31ED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E31EDE">
        <w:trPr>
          <w:trHeight w:val="300"/>
        </w:trPr>
        <w:tc>
          <w:tcPr>
            <w:tcW w:w="1462"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E31EDE">
        <w:trPr>
          <w:trHeight w:val="300"/>
        </w:trPr>
        <w:tc>
          <w:tcPr>
            <w:tcW w:w="1462"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E31EDE">
        <w:trPr>
          <w:trHeight w:val="300"/>
        </w:trPr>
        <w:tc>
          <w:tcPr>
            <w:tcW w:w="1462"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28.01.2010</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02/10/1/10</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UA4000123152</w:t>
            </w:r>
          </w:p>
        </w:tc>
        <w:tc>
          <w:tcPr>
            <w:tcW w:w="2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88 000</w:t>
            </w:r>
          </w:p>
        </w:tc>
        <w:tc>
          <w:tcPr>
            <w:tcW w:w="2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22 000 000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87 320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E31EDE">
        <w:trPr>
          <w:trHeight w:val="300"/>
        </w:trPr>
        <w:tc>
          <w:tcPr>
            <w:tcW w:w="15083" w:type="dxa"/>
            <w:gridSpan w:val="8"/>
            <w:tcBorders>
              <w:top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E31EDE">
        <w:trPr>
          <w:trHeight w:val="300"/>
        </w:trPr>
        <w:tc>
          <w:tcPr>
            <w:tcW w:w="15083" w:type="dxa"/>
            <w:gridSpan w:val="8"/>
            <w:tcBorders>
              <w:top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Обмеження голосування акцiонерiв на загальних зборах вiдповiдно до вимог пункту 10 роздiлу VI Закону України "Про депозитарну систему України".</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 немає.</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за результатами обмеження таких прав передано iншiй особi- немає.</w:t>
            </w: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0"/>
          <w:szCs w:val="20"/>
        </w:rPr>
      </w:pPr>
    </w:p>
    <w:p w:rsidR="00E31EDE" w:rsidRDefault="00E31EDE">
      <w:pPr>
        <w:widowControl w:val="0"/>
        <w:autoSpaceDE w:val="0"/>
        <w:autoSpaceDN w:val="0"/>
        <w:adjustRightInd w:val="0"/>
        <w:spacing w:after="0" w:line="240" w:lineRule="auto"/>
        <w:rPr>
          <w:rFonts w:ascii="Times New Roman CYR" w:hAnsi="Times New Roman CYR" w:cs="Times New Roman CYR"/>
          <w:sz w:val="20"/>
          <w:szCs w:val="20"/>
        </w:rPr>
        <w:sectPr w:rsidR="00E31EDE">
          <w:pgSz w:w="16838" w:h="11906" w:orient="landscape"/>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E31EDE">
        <w:trPr>
          <w:trHeight w:val="200"/>
        </w:trPr>
        <w:tc>
          <w:tcPr>
            <w:tcW w:w="4000" w:type="dxa"/>
            <w:gridSpan w:val="2"/>
            <w:vMerge w:val="restart"/>
            <w:tcBorders>
              <w:top w:val="single" w:sz="6" w:space="0" w:color="auto"/>
              <w:bottom w:val="nil"/>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E31EDE">
        <w:trPr>
          <w:trHeight w:val="200"/>
        </w:trPr>
        <w:tc>
          <w:tcPr>
            <w:tcW w:w="4000" w:type="dxa"/>
            <w:gridSpan w:val="2"/>
            <w:vMerge/>
            <w:tcBorders>
              <w:top w:val="nil"/>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41 889</w:t>
            </w:r>
          </w:p>
        </w:tc>
        <w:tc>
          <w:tcPr>
            <w:tcW w:w="15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20.11.2020</w:t>
            </w:r>
          </w:p>
        </w:tc>
        <w:tc>
          <w:tcPr>
            <w:tcW w:w="1500" w:type="dxa"/>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07.12.2020</w:t>
            </w:r>
          </w:p>
        </w:tc>
        <w:tc>
          <w:tcPr>
            <w:tcW w:w="1500" w:type="dxa"/>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2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прийняття загальними зборами акцiонерного товариства рiшення про виплату дивiдендiв: 20.11.2020р. Сума нарахованих дивiдендiв становить 15 400 000 грн., нарахованi дивiденди на одну акцiю становить 175 грн.</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прийняття уповноваженим органом акцiонерного товариства рiшення про встановлення дати складення перелiку осiб, якi мають право на отримання дивiдендiв: 20.11.2020р.(Наглядова рада).</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перелiку осiб, якi мають право на отримання дивiдендiв: 07.12.2020р.</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про порядок та строк виплати дивiдендiв було прийнято Наглядовою радою ПрАТ "КАМЕТ" 20.11.2020р.: здiйснити виплату дивiдендiв з 10 грудня 2020 року по 20 травня 2021 року безпосередньо акцiонерам всiєї суми дивiдендiв в повному обсязi.</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31.12.2020р. дивiдендiв за 2012- 2019 рiк було виплачено на суму 15284317,00 грн.</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31.12.2020 р. дивiдендiв за 2012 - 2019 рiк було не виплачено на суму 115683,00 грн., в зв'язку з незакiнченням термiну виплати дивiдендiв.</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роцi дивiденди виплачувались з 28.01.2021 р. по 20.05.2021 р., станом на 31.12.2021 виплачено дивiдендiв у сумi 41889,00 грн.,  не виплачено дивiдендiв у сумi 73794,00 грн. у зв'язку iз вiдсутнiстю вiдповiдних звернень вiд осiб, якi мають право на виплату дивiдендiв.</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про виплату дивiдендiв у звiтному перiодi та за результатами звiтного перiоду не приймалось, дивiденди у звiтному перiодi та за результатами звiтного </w:t>
            </w:r>
            <w:r>
              <w:rPr>
                <w:rFonts w:ascii="Times New Roman CYR" w:hAnsi="Times New Roman CYR" w:cs="Times New Roman CYR"/>
              </w:rPr>
              <w:lastRenderedPageBreak/>
              <w:t>перiоду не нараховувались i не сплачувались.</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E31EDE">
        <w:trPr>
          <w:trHeight w:val="200"/>
        </w:trPr>
        <w:tc>
          <w:tcPr>
            <w:tcW w:w="3058" w:type="dxa"/>
            <w:vMerge w:val="restart"/>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E31EDE">
        <w:trPr>
          <w:trHeight w:val="200"/>
        </w:trPr>
        <w:tc>
          <w:tcPr>
            <w:tcW w:w="3058" w:type="dxa"/>
            <w:vMerge/>
            <w:tcBorders>
              <w:top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90 956</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90 681</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90 956</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90 681</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988</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1 084</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988</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1 084</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89 280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89 163</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89 280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89 163</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90 956</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90 681</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90 956</w:t>
            </w:r>
          </w:p>
        </w:tc>
        <w:tc>
          <w:tcPr>
            <w:tcW w:w="1082"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90 681</w:t>
            </w:r>
          </w:p>
        </w:tc>
      </w:tr>
      <w:tr w:rsidR="00E31EDE">
        <w:trPr>
          <w:trHeight w:val="200"/>
        </w:trPr>
        <w:tc>
          <w:tcPr>
            <w:tcW w:w="3058"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(за основними групами):</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та споруди- 45 рокiв</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машини та обладнання- 25 рокiв</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засоби- 5 рокiв</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iнструменти, прилади, iнвентар (меблi) - 12 рокiв</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31.12.2021р. первiсна вартiсть основних засобiв складала 11219 тис.грн, сума зносу основних засобiв - 9590 тис.грн.,залишкова вартiсть 1626 тис.грн., ступiнь їх зносу -85,5%, ступiнь їх використання - 100%</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Суттєвi змiн у вартостi основних засобiв зумовленi їх зносом (нарахуванням амортизацiї). </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майна Товариства немає.</w:t>
            </w:r>
          </w:p>
          <w:p w:rsidR="00E31EDE" w:rsidRDefault="00E31EDE">
            <w:pPr>
              <w:widowControl w:val="0"/>
              <w:autoSpaceDE w:val="0"/>
              <w:autoSpaceDN w:val="0"/>
              <w:adjustRightInd w:val="0"/>
              <w:spacing w:after="0" w:line="240" w:lineRule="auto"/>
              <w:jc w:val="both"/>
              <w:rPr>
                <w:rFonts w:ascii="Times New Roman CYR" w:hAnsi="Times New Roman CYR" w:cs="Times New Roman CYR"/>
              </w:rPr>
            </w:pPr>
          </w:p>
          <w:p w:rsidR="00E31EDE" w:rsidRDefault="00E31EDE">
            <w:pPr>
              <w:widowControl w:val="0"/>
              <w:autoSpaceDE w:val="0"/>
              <w:autoSpaceDN w:val="0"/>
              <w:adjustRightInd w:val="0"/>
              <w:spacing w:after="0" w:line="240" w:lineRule="auto"/>
              <w:jc w:val="both"/>
              <w:rPr>
                <w:rFonts w:ascii="Times New Roman CYR" w:hAnsi="Times New Roman CYR" w:cs="Times New Roman CYR"/>
              </w:rPr>
            </w:pP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109 432</w:t>
            </w:r>
          </w:p>
        </w:tc>
        <w:tc>
          <w:tcPr>
            <w:tcW w:w="3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112 649</w:t>
            </w: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3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r>
      <w:tr w:rsidR="00E31EDE">
        <w:trPr>
          <w:trHeight w:val="200"/>
        </w:trPr>
        <w:tc>
          <w:tcPr>
            <w:tcW w:w="4000" w:type="dxa"/>
            <w:gridSpan w:val="2"/>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3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r>
      <w:tr w:rsidR="00E31EDE">
        <w:trPr>
          <w:trHeight w:val="200"/>
        </w:trPr>
        <w:tc>
          <w:tcPr>
            <w:tcW w:w="126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акцiонерного товариства визначається як рiзниця мiж вартiстю активiв та вартiстю зобов'язань. Розраховується за Методичними рекомендацiями по визначенню вартостi чистих активiв акцiонерного товариства, схваленими рiшенням ДКЦПФР вiд 17.11.2004р. № 485</w:t>
            </w:r>
          </w:p>
        </w:tc>
      </w:tr>
      <w:tr w:rsidR="00E31EDE">
        <w:trPr>
          <w:trHeight w:val="200"/>
        </w:trPr>
        <w:tc>
          <w:tcPr>
            <w:tcW w:w="126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законодавствi немає вимог щодо вiдповiдностi вартостi чистих активiв розмiру статутного капiталу, тому таку вiдповiднiсть вказати неможливо.</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E31EDE">
        <w:trPr>
          <w:trHeight w:val="2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E31EDE">
        <w:trPr>
          <w:trHeight w:val="2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2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686</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1 326</w:t>
            </w:r>
          </w:p>
        </w:tc>
        <w:tc>
          <w:tcPr>
            <w:tcW w:w="194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31EDE">
        <w:trPr>
          <w:trHeight w:val="300"/>
        </w:trPr>
        <w:tc>
          <w:tcPr>
            <w:tcW w:w="378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рядка "Iншi зобов'язання та забезпечення" вiднесено наступнi даннi в тис.грн.: поточна кредиторська заборгованiсть з оплати працi -8; поточна кредиторська заборгованiсть за одержаними авансами-90; поточна кредиторська заборгованiсть за розрахунками з учасниками-74; поточнi забезпечення-222; iншi поточнi  зобов'язання -292.</w:t>
            </w:r>
          </w:p>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має зобов'язань за кредитами банку, цiнними паперами, за фiнансовими iнвестицiями в корпоративнi права, фiнансової допомоги на зворотнiй основi.</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02092, Україна, м.Київ, вул. Тропiнiна 7-Г</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591-04-37</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Публiчне акцiонерне товариство " Нацiональний депозитарiй України" - депозитарiй, який обслуговує випуск цiнних паперiв Товариства. Вiдповiдно до частини 2 статтi 9 Закону України "Про депозитарну систему України", акцiонерне товариство набуває статусу Центрального депозитарiю з дня реєстрацiї Комiсiєю в установленому порядку Правил Центрального депозитарiю. 1 жовтня 2013 року Нацiональною комiсiєю з цiнних паперiв та фондового ринку було зареєстровано поданi Публiчним акцiонерним товариством "Нацiональний депозитарiй України" Правила Центрального депозитарiю цiнних паперiв (рiшення Комiсiї вiд 01.10.2013 №2092). В зв'язку з цим замiсть Номеру лiцензiї або iншого документу вказано № рiшення Комiсiї, щодо реєстрацiї  Правил Центрального депозитарiю та замiсть дати видачi лiцензiї або iншого документа вказана дата прийняття рiшення Комiсiї, щодо реєстрацiї  Правил Центрального депозитарiю.</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Акцiонерне товариство "ТАСКОМБАНК"</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09806443</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01032, Україна, м.Київ, вул. С.Петлюри, 30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№642019</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13.05.2015</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290-94-86</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Обслуговування рахункiв власникiв простих iменних акцiй Товариства.</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додатковою вiдповiдальнiстю "Страхова компанiя "КАСТОДI"</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додатковою відповідальністю</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40718896</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04053, Україна, м.Київ, Стрiльцiв,буд 21/27,офiс 405</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2473</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29.09.2016</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(096) 929-16-00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Страховi послуги: Страхування вiд вогневих ризикiв та ризикiв стихiйних явищ;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"ТАС"</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03062, Україна, м.Київ, пр. Перемоги, 65</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569183</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06.01.2010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Страховi послуги: Страхування цивiльно-правової вiдповiдальностi власникiв наземних транспортних засобiв.</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 Антоновича, 51, оф. 1206</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Уповноважений надавати iнформацiйнi послуги на фондовому ринку</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"Аудиторська фiрма "Венгер i Партнери"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36852079</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03117, Україна, м.Київ, пр.Перемоги,65</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4363</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14.07.2010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223-78-10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223-78-10</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й аудиту; консультування з питань оподаткування</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Проведення аудиторської перевiрки фiнансової звiтностi Товариства за 2020 рiк.Перевiрка звiту про корпоративне управлiння та надання звiту з висловлення думки щодо деяких питань звiту про корпоративне управлiння за 2020 рiк.</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"КАПIТАЛ-СТРАХУВАННЯ"</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34807946</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01054, Україна, м.Київ, вул. Гончара Олеся, буд. 65А</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№500094</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16.12.2009</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(098)-009-27-51</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види страхування, крiм страхування життя</w:t>
            </w:r>
          </w:p>
        </w:tc>
      </w:tr>
      <w:tr w:rsidR="00E31EDE">
        <w:trPr>
          <w:trHeight w:val="200"/>
        </w:trPr>
        <w:tc>
          <w:tcPr>
            <w:tcW w:w="60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Страховi послуги: Страхування вiд вогневих ризикiв та ризикiв стихiйних явищ;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w:t>
            </w:r>
            <w:r>
              <w:rPr>
                <w:rFonts w:ascii="Times New Roman CYR" w:hAnsi="Times New Roman CYR" w:cs="Times New Roman CYR"/>
              </w:rPr>
              <w:lastRenderedPageBreak/>
              <w:t>(вантажобагажу).</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E31EDE">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31EDE">
        <w:trPr>
          <w:gridBefore w:val="2"/>
          <w:wBefore w:w="6626" w:type="dxa"/>
          <w:trHeight w:val="300"/>
        </w:trPr>
        <w:tc>
          <w:tcPr>
            <w:tcW w:w="1654"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E31EDE">
        <w:trPr>
          <w:trHeight w:val="298"/>
        </w:trPr>
        <w:tc>
          <w:tcPr>
            <w:tcW w:w="2160"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654"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r w:rsidR="00E31EDE">
        <w:trPr>
          <w:trHeight w:val="298"/>
        </w:trPr>
        <w:tc>
          <w:tcPr>
            <w:tcW w:w="2160"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w:t>
            </w:r>
          </w:p>
        </w:tc>
        <w:tc>
          <w:tcPr>
            <w:tcW w:w="1654"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UA80000000000875983</w:t>
            </w:r>
          </w:p>
        </w:tc>
      </w:tr>
      <w:tr w:rsidR="00E31EDE">
        <w:trPr>
          <w:trHeight w:val="298"/>
        </w:trPr>
        <w:tc>
          <w:tcPr>
            <w:tcW w:w="2160"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E31EDE">
        <w:trPr>
          <w:trHeight w:val="298"/>
        </w:trPr>
        <w:tc>
          <w:tcPr>
            <w:tcW w:w="2160"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60</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03117 м. Київ, проспект Перемоги,будинок 65, (044) 400-0555</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8280"/>
        <w:gridCol w:w="1720"/>
      </w:tblGrid>
      <w:tr w:rsidR="00E31EDE">
        <w:trPr>
          <w:trHeight w:val="298"/>
        </w:trPr>
        <w:tc>
          <w:tcPr>
            <w:tcW w:w="8280" w:type="dxa"/>
            <w:vMerge w:val="restart"/>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98"/>
        </w:trPr>
        <w:tc>
          <w:tcPr>
            <w:tcW w:w="8280" w:type="dxa"/>
            <w:vMerge w:val="restart"/>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E31EDE">
        <w:trPr>
          <w:gridBefore w:val="3"/>
          <w:wBefore w:w="7150" w:type="dxa"/>
          <w:trHeight w:val="280"/>
        </w:trPr>
        <w:tc>
          <w:tcPr>
            <w:tcW w:w="1501" w:type="dxa"/>
            <w:gridSpan w:val="2"/>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E31EDE">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1 904</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1 629</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11 111</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11 219</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( 9 207 )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( 9 590 )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1 443</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3 034</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3 034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95 436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93 717</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1 564</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2 002</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3 690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1 125</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715</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1 425</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1 518</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14 005</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9 005</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3 366</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2 463</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3 366</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2 463</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582</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25 017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17 041</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120 453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110 758</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31EDE">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5"/>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86 873</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83 656</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112 649</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109 432</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E31EDE">
            <w:pPr>
              <w:widowControl w:val="0"/>
              <w:autoSpaceDE w:val="0"/>
              <w:autoSpaceDN w:val="0"/>
              <w:adjustRightInd w:val="0"/>
              <w:spacing w:after="0" w:line="240" w:lineRule="auto"/>
              <w:jc w:val="center"/>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932</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6 526</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7 804</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1 326</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120 453</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110 758</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Лєнь Є.О.</w:t>
      </w:r>
    </w:p>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Iваницька Н.М.</w:t>
      </w: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E31EDE">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31EDE">
        <w:trPr>
          <w:gridBefore w:val="2"/>
          <w:wBefore w:w="6626" w:type="dxa"/>
          <w:trHeight w:val="300"/>
        </w:trPr>
        <w:tc>
          <w:tcPr>
            <w:tcW w:w="1654"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E31EDE">
        <w:trPr>
          <w:trHeight w:val="298"/>
        </w:trPr>
        <w:tc>
          <w:tcPr>
            <w:tcW w:w="2160"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654"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E31EDE">
        <w:trPr>
          <w:gridBefore w:val="3"/>
          <w:wBefore w:w="7150" w:type="dxa"/>
          <w:trHeight w:val="280"/>
        </w:trPr>
        <w:tc>
          <w:tcPr>
            <w:tcW w:w="1501" w:type="dxa"/>
            <w:gridSpan w:val="2"/>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E31EDE">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37 287</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37 677</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( 33 653 )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( 28 527 )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3 634</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9 150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1 427</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( 5 816 )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( 6 378 )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( 3 632 )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( 1 419 )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2 587</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( 4 387 )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1 162</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2 874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1 479</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( 1 443 )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5 457</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( 3 200 )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-1 158</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4 299</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( 3 217 )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31EDE">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-16 856</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-16 856</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-3 034 )</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-13 822</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-9 523</w:t>
            </w:r>
          </w:p>
        </w:tc>
      </w:tr>
    </w:tbl>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31EDE">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1 781</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9 827</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10 168</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1 928</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1 998</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28 978</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21 772</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43 098</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36 321</w:t>
            </w:r>
          </w:p>
        </w:tc>
      </w:tr>
    </w:tbl>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31EDE">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Лєнь Є.О.</w:t>
      </w:r>
    </w:p>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Iваницька Н.М.</w:t>
      </w: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E31EDE">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31EDE">
        <w:trPr>
          <w:gridBefore w:val="2"/>
          <w:wBefore w:w="6650" w:type="dxa"/>
          <w:trHeight w:val="200"/>
        </w:trPr>
        <w:tc>
          <w:tcPr>
            <w:tcW w:w="1990"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E31EDE">
        <w:tc>
          <w:tcPr>
            <w:tcW w:w="2160"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990"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E31EDE">
        <w:trPr>
          <w:gridBefore w:val="3"/>
          <w:wBefore w:w="7500" w:type="dxa"/>
          <w:trHeight w:val="280"/>
        </w:trPr>
        <w:tc>
          <w:tcPr>
            <w:tcW w:w="1500" w:type="dxa"/>
            <w:gridSpan w:val="2"/>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tcPr>
          <w:p w:rsidR="00E31EDE" w:rsidRDefault="00E31EDE">
            <w:pPr>
              <w:widowControl w:val="0"/>
              <w:autoSpaceDE w:val="0"/>
              <w:autoSpaceDN w:val="0"/>
              <w:adjustRightInd w:val="0"/>
              <w:spacing w:after="0" w:line="240" w:lineRule="auto"/>
              <w:jc w:val="right"/>
              <w:rPr>
                <w:rFonts w:ascii="Times New Roman CYR" w:hAnsi="Times New Roman CYR" w:cs="Times New Roman CYR"/>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31EDE">
        <w:trPr>
          <w:trHeight w:val="200"/>
        </w:trPr>
        <w:tc>
          <w:tcPr>
            <w:tcW w:w="5850" w:type="dxa"/>
            <w:tcBorders>
              <w:top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46 100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46 611</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1 608</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6 710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( 27 620 )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( 15 310 )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( 7 561 )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( 7 718 )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( 2 072 )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( 2 153 )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( 12 905 )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( 14 351 )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( 912 )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( 1 551 )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( 5 337 )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( 6 105 )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( 6 656 )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( 6 695 )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( 1 465 )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( 511 )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( 10 696 )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-3 515</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3 320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1 487</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2 036</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27 000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20 050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( 4 000 )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( 22 000 )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( 15 950 )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7 227</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6 136</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3 500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1 443</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31EDE" w:rsidRDefault="00E31EDE">
            <w:pPr>
              <w:widowControl w:val="0"/>
              <w:autoSpaceDE w:val="0"/>
              <w:autoSpaceDN w:val="0"/>
              <w:adjustRightInd w:val="0"/>
              <w:spacing w:after="0" w:line="240" w:lineRule="auto"/>
              <w:rPr>
                <w:rFonts w:ascii="Times New Roman CYR" w:hAnsi="Times New Roman CYR" w:cs="Times New Roman CYR"/>
              </w:rPr>
            </w:pP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( 9 500 )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( 8 000 )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( 14 696 )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-4 615</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-8 700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-903</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756</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3 366</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58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2 463</w:t>
            </w:r>
          </w:p>
        </w:tc>
        <w:tc>
          <w:tcPr>
            <w:tcW w:w="1645"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3 366</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Лєнь Є.О.</w:t>
      </w:r>
    </w:p>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Iваницька Н.М.</w:t>
      </w: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E31EDE">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31EDE">
        <w:trPr>
          <w:gridBefore w:val="2"/>
          <w:wBefore w:w="7740" w:type="dxa"/>
          <w:trHeight w:val="298"/>
        </w:trPr>
        <w:tc>
          <w:tcPr>
            <w:tcW w:w="1800"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E31EDE">
        <w:tc>
          <w:tcPr>
            <w:tcW w:w="2240" w:type="dxa"/>
            <w:tcBorders>
              <w:top w:val="nil"/>
              <w:left w:val="nil"/>
              <w:bottom w:val="nil"/>
              <w:right w:val="nil"/>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800" w:type="dxa"/>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E31EDE">
        <w:trPr>
          <w:gridBefore w:val="8"/>
          <w:wBefore w:w="11500" w:type="dxa"/>
          <w:trHeight w:val="280"/>
        </w:trPr>
        <w:tc>
          <w:tcPr>
            <w:tcW w:w="1800" w:type="dxa"/>
            <w:gridSpan w:val="2"/>
            <w:tcBorders>
              <w:top w:val="nil"/>
              <w:left w:val="nil"/>
              <w:bottom w:val="nil"/>
              <w:right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E31EDE" w:rsidRDefault="004E0E5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E31EDE">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E31EDE">
        <w:trPr>
          <w:trHeight w:val="200"/>
        </w:trPr>
        <w:tc>
          <w:tcPr>
            <w:tcW w:w="3050" w:type="dxa"/>
            <w:tcBorders>
              <w:top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-13 822</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100 695</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112 649</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13 822</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-13 822</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86 873</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112 649</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r>
      <w:tr w:rsidR="00E31EDE">
        <w:trPr>
          <w:trHeight w:val="200"/>
        </w:trPr>
        <w:tc>
          <w:tcPr>
            <w:tcW w:w="3050" w:type="dxa"/>
            <w:tcBorders>
              <w:top w:val="single" w:sz="6" w:space="0" w:color="auto"/>
              <w:bottom w:val="single" w:sz="6" w:space="0" w:color="auto"/>
              <w:right w:val="single" w:sz="6" w:space="0" w:color="auto"/>
            </w:tcBorders>
            <w:vAlign w:val="center"/>
          </w:tcPr>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35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83 656</w:t>
            </w:r>
          </w:p>
        </w:tc>
        <w:tc>
          <w:tcPr>
            <w:tcW w:w="15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109 432</w:t>
            </w:r>
          </w:p>
        </w:tc>
      </w:tr>
    </w:tbl>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Лєнь Є.О.</w:t>
      </w:r>
    </w:p>
    <w:p w:rsidR="00E31EDE" w:rsidRDefault="00E31EDE">
      <w:pPr>
        <w:widowControl w:val="0"/>
        <w:autoSpaceDE w:val="0"/>
        <w:autoSpaceDN w:val="0"/>
        <w:adjustRightInd w:val="0"/>
        <w:spacing w:after="0" w:line="240" w:lineRule="auto"/>
        <w:rPr>
          <w:rFonts w:ascii="Times New Roman CYR" w:hAnsi="Times New Roman CYR" w:cs="Times New Roman CYR"/>
        </w:rPr>
      </w:pPr>
    </w:p>
    <w:p w:rsidR="00E31EDE" w:rsidRDefault="004E0E5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Iваницька Н.М.</w:t>
      </w:r>
    </w:p>
    <w:p w:rsidR="00E31EDE" w:rsidRDefault="00E31EDE">
      <w:pPr>
        <w:widowControl w:val="0"/>
        <w:autoSpaceDE w:val="0"/>
        <w:autoSpaceDN w:val="0"/>
        <w:adjustRightInd w:val="0"/>
        <w:spacing w:after="0" w:line="240" w:lineRule="auto"/>
        <w:rPr>
          <w:rFonts w:ascii="Times New Roman CYR" w:hAnsi="Times New Roman CYR" w:cs="Times New Roman CYR"/>
        </w:rPr>
        <w:sectPr w:rsidR="00E31EDE">
          <w:pgSz w:w="16838" w:h="11906" w:orient="landscape"/>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6C6DBE" w:rsidRDefault="006C6DBE" w:rsidP="006C6DBE">
      <w:pPr>
        <w:widowControl w:val="0"/>
        <w:autoSpaceDE w:val="0"/>
        <w:autoSpaceDN w:val="0"/>
        <w:adjustRightInd w:val="0"/>
        <w:spacing w:after="0" w:line="240" w:lineRule="auto"/>
        <w:jc w:val="both"/>
        <w:rPr>
          <w:rFonts w:ascii="Times New Roman CYR" w:hAnsi="Times New Roman CYR" w:cs="Times New Roman CYR"/>
          <w:sz w:val="24"/>
          <w:szCs w:val="24"/>
        </w:rPr>
      </w:pPr>
    </w:p>
    <w:p w:rsidR="006C6DBE" w:rsidRPr="005D12CB" w:rsidRDefault="006C6DBE" w:rsidP="006C6DBE">
      <w:pPr>
        <w:numPr>
          <w:ilvl w:val="0"/>
          <w:numId w:val="7"/>
        </w:numPr>
        <w:spacing w:after="0" w:line="240" w:lineRule="auto"/>
        <w:jc w:val="both"/>
        <w:rPr>
          <w:rFonts w:ascii="Times New Roman" w:hAnsi="Times New Roman" w:cs="Times New Roman"/>
          <w:sz w:val="28"/>
          <w:szCs w:val="28"/>
        </w:rPr>
      </w:pPr>
      <w:r w:rsidRPr="005D12CB">
        <w:rPr>
          <w:rFonts w:ascii="Times New Roman" w:hAnsi="Times New Roman" w:cs="Times New Roman"/>
          <w:b/>
          <w:sz w:val="28"/>
          <w:szCs w:val="28"/>
        </w:rPr>
        <w:t>Загальні відомості</w:t>
      </w:r>
    </w:p>
    <w:p w:rsidR="006C6DBE" w:rsidRPr="005D12CB" w:rsidRDefault="006C6DBE" w:rsidP="006C6DBE">
      <w:pPr>
        <w:tabs>
          <w:tab w:val="left" w:pos="8322"/>
        </w:tabs>
        <w:spacing w:after="0" w:line="240" w:lineRule="auto"/>
        <w:jc w:val="both"/>
        <w:rPr>
          <w:rFonts w:ascii="Times New Roman" w:hAnsi="Times New Roman" w:cs="Times New Roman"/>
          <w:sz w:val="23"/>
          <w:szCs w:val="23"/>
        </w:rPr>
      </w:pPr>
      <w:r w:rsidRPr="005D12CB">
        <w:rPr>
          <w:b/>
          <w:i/>
          <w:sz w:val="24"/>
          <w:szCs w:val="24"/>
        </w:rPr>
        <w:t>Повна назва:</w:t>
      </w:r>
      <w:r w:rsidRPr="005D12CB">
        <w:rPr>
          <w:rFonts w:ascii="Times New Roman" w:hAnsi="Times New Roman" w:cs="Times New Roman"/>
          <w:sz w:val="23"/>
          <w:szCs w:val="23"/>
        </w:rPr>
        <w:t xml:space="preserve">ПРИВАТНЕ АКЦІОНЕРНЕ ТОВАРИСТВО «КАМЕТ» (далі – Товариство).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b/>
          <w:i/>
          <w:sz w:val="23"/>
          <w:szCs w:val="23"/>
        </w:rPr>
        <w:t>Код ЄДРПОУ: 00241206</w:t>
      </w:r>
    </w:p>
    <w:p w:rsidR="006C6DBE" w:rsidRPr="005D12CB" w:rsidRDefault="006C6DBE" w:rsidP="006C6DBE">
      <w:pPr>
        <w:spacing w:after="0" w:line="240" w:lineRule="auto"/>
        <w:jc w:val="both"/>
        <w:rPr>
          <w:rFonts w:ascii="Times New Roman" w:hAnsi="Times New Roman" w:cs="Times New Roman"/>
          <w:sz w:val="23"/>
          <w:szCs w:val="23"/>
        </w:rPr>
      </w:pPr>
      <w:r w:rsidRPr="005D12CB">
        <w:rPr>
          <w:rFonts w:ascii="Times New Roman" w:hAnsi="Times New Roman" w:cs="Times New Roman"/>
          <w:b/>
          <w:i/>
          <w:sz w:val="23"/>
          <w:szCs w:val="23"/>
        </w:rPr>
        <w:t xml:space="preserve">Місцезнаходження товариства: </w:t>
      </w:r>
      <w:r w:rsidRPr="005D12CB">
        <w:rPr>
          <w:rFonts w:ascii="Times New Roman" w:hAnsi="Times New Roman" w:cs="Times New Roman"/>
          <w:sz w:val="23"/>
          <w:szCs w:val="23"/>
        </w:rPr>
        <w:t>03117, м.Київ, Святошинський р-н, проспект Перемоги, 65</w:t>
      </w:r>
    </w:p>
    <w:p w:rsidR="006C6DBE" w:rsidRPr="005D12CB" w:rsidRDefault="006C6DBE" w:rsidP="006C6DBE">
      <w:pPr>
        <w:spacing w:after="0" w:line="240" w:lineRule="auto"/>
        <w:jc w:val="both"/>
        <w:rPr>
          <w:rFonts w:ascii="Times New Roman" w:hAnsi="Times New Roman" w:cs="Times New Roman"/>
          <w:sz w:val="23"/>
          <w:szCs w:val="23"/>
        </w:rPr>
      </w:pPr>
      <w:r w:rsidRPr="005D12CB">
        <w:rPr>
          <w:rFonts w:ascii="Times New Roman" w:hAnsi="Times New Roman" w:cs="Times New Roman"/>
          <w:b/>
          <w:i/>
          <w:sz w:val="23"/>
          <w:szCs w:val="23"/>
        </w:rPr>
        <w:t>Дата державної реєстраціі:</w:t>
      </w:r>
      <w:r w:rsidRPr="005D12CB">
        <w:rPr>
          <w:rFonts w:ascii="Times New Roman" w:hAnsi="Times New Roman" w:cs="Times New Roman"/>
          <w:sz w:val="23"/>
          <w:szCs w:val="23"/>
        </w:rPr>
        <w:t xml:space="preserve"> 14.06.2001р.</w:t>
      </w:r>
    </w:p>
    <w:p w:rsidR="006C6DBE" w:rsidRPr="005D12CB" w:rsidRDefault="006C6DBE" w:rsidP="006C6DBE">
      <w:pPr>
        <w:spacing w:after="0" w:line="240" w:lineRule="auto"/>
        <w:jc w:val="both"/>
        <w:rPr>
          <w:rFonts w:ascii="Times New Roman" w:hAnsi="Times New Roman" w:cs="Times New Roman"/>
          <w:sz w:val="23"/>
          <w:szCs w:val="23"/>
        </w:rPr>
      </w:pPr>
      <w:r w:rsidRPr="005D12CB">
        <w:rPr>
          <w:rFonts w:ascii="Times New Roman" w:hAnsi="Times New Roman" w:cs="Times New Roman"/>
          <w:sz w:val="23"/>
          <w:szCs w:val="23"/>
        </w:rPr>
        <w:t>Дата останньої реєстраційної дії: 05.05.2016 затверджено протоколом№35 від 26.04.2019року (реєстр №107200436366)</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b/>
          <w:i/>
          <w:sz w:val="23"/>
          <w:szCs w:val="23"/>
        </w:rPr>
        <w:t>Види діяльності за КВЕД-2010:</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72.19 Дослідження й експериментальні розробки у сфері інших природничих і технічних наук;</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28.29 Виробництво інших машин і устаткування загального призначення, н.в.і.у;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56.10 Діяльність ресторанів, надання послуг мобільного харчування;</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58.19 Інші види видавничої діяльності;</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68.20 Надання в оренду й експлуатацію власного чи орендованого нерухомого майна.</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Середньооблікова чисельність працюючих складає на </w:t>
      </w:r>
      <w:r w:rsidRPr="005D12CB">
        <w:rPr>
          <w:rFonts w:ascii="Times New Roman" w:hAnsi="Times New Roman" w:cs="Times New Roman"/>
          <w:sz w:val="23"/>
          <w:szCs w:val="23"/>
        </w:rPr>
        <w:t>31.12.2021 р.-60 чол.</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3"/>
          <w:szCs w:val="23"/>
        </w:rPr>
        <w:t>На дату перевірки частка держави в статутному капіталі товариства відсутня.</w:t>
      </w:r>
    </w:p>
    <w:p w:rsidR="006C6DBE" w:rsidRPr="005D12CB" w:rsidRDefault="006C6DBE" w:rsidP="006C6DBE">
      <w:pPr>
        <w:spacing w:after="0" w:line="240" w:lineRule="auto"/>
        <w:jc w:val="both"/>
        <w:rPr>
          <w:rFonts w:ascii="Times New Roman" w:hAnsi="Times New Roman" w:cs="Times New Roman"/>
          <w:sz w:val="10"/>
          <w:szCs w:val="10"/>
        </w:rPr>
      </w:pPr>
    </w:p>
    <w:p w:rsidR="006C6DBE" w:rsidRPr="005D12CB" w:rsidRDefault="006C6DBE" w:rsidP="006C6DBE">
      <w:pPr>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b/>
          <w:i/>
          <w:sz w:val="24"/>
          <w:szCs w:val="24"/>
        </w:rPr>
        <w:t xml:space="preserve">Стратегічні цілі Товариства. </w:t>
      </w:r>
      <w:r w:rsidRPr="005D12CB">
        <w:rPr>
          <w:rFonts w:ascii="Times New Roman" w:hAnsi="Times New Roman" w:cs="Times New Roman"/>
          <w:sz w:val="24"/>
          <w:szCs w:val="24"/>
        </w:rPr>
        <w:t xml:space="preserve">Товариство прагне поліпшити свою позицію на ринку інвестиційної нерухомості , зайняти провідне місце в даному сегменті, підтримуючи у довгостроковій перспективі конкурентоспроможність.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 На ринку з високим рівнем конкуренції Товариство обрало активну модель поведінки: використовує нові можливості, та реагує на зміни, які вже відбулися.</w:t>
      </w:r>
    </w:p>
    <w:p w:rsidR="006C6DBE" w:rsidRPr="005D12CB" w:rsidRDefault="006C6DBE" w:rsidP="006C6DBE">
      <w:pPr>
        <w:spacing w:after="0" w:line="240" w:lineRule="auto"/>
        <w:ind w:firstLine="720"/>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b/>
          <w:i/>
          <w:sz w:val="24"/>
          <w:szCs w:val="24"/>
        </w:rPr>
        <w:t>Метою діяльності Товариства</w:t>
      </w:r>
      <w:r w:rsidRPr="005D12CB">
        <w:rPr>
          <w:rFonts w:ascii="Times New Roman" w:hAnsi="Times New Roman" w:cs="Times New Roman"/>
          <w:sz w:val="24"/>
          <w:szCs w:val="24"/>
        </w:rPr>
        <w:t xml:space="preserve"> є отримання прибутку шляхом ефективного використання власних та залучених коштів. </w:t>
      </w:r>
    </w:p>
    <w:p w:rsidR="006C6DBE" w:rsidRPr="005D12CB" w:rsidRDefault="006C6DBE" w:rsidP="006C6DBE">
      <w:pPr>
        <w:spacing w:after="0" w:line="240" w:lineRule="auto"/>
        <w:ind w:firstLine="720"/>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20"/>
        <w:jc w:val="both"/>
        <w:rPr>
          <w:rFonts w:ascii="Times New Roman" w:hAnsi="Times New Roman" w:cs="Times New Roman"/>
          <w:b/>
          <w:i/>
          <w:sz w:val="24"/>
          <w:szCs w:val="24"/>
        </w:rPr>
      </w:pPr>
      <w:r w:rsidRPr="005D12CB">
        <w:rPr>
          <w:rFonts w:ascii="Times New Roman" w:hAnsi="Times New Roman" w:cs="Times New Roman"/>
          <w:b/>
          <w:i/>
          <w:sz w:val="24"/>
          <w:szCs w:val="24"/>
        </w:rPr>
        <w:t>Економічне середовище, в якому підприємство здійснює свою діяльність:</w:t>
      </w:r>
    </w:p>
    <w:p w:rsidR="006C6DBE" w:rsidRPr="005D12CB" w:rsidRDefault="006C6DBE" w:rsidP="006C6DBE">
      <w:pPr>
        <w:spacing w:after="0" w:line="240" w:lineRule="auto"/>
        <w:ind w:firstLine="720"/>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24 лютого 2022 року Російська Федерація розпочала повномасштабне військове вторгнення в Україну. Широкі проблеми безпеки стали викликом для подальшого стабільного розвитку економічного та фінансового сегментів в Україні, а операційне середовище з тих пір залишається ризикованим і має високий рівень невизначеності.</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Для оцінки економічних наслідків, ймовірно, знадобиться час, враховуючи швидкий характер розвитку ситуації та непередбачуваність війни. Уряд визначив пріоритетними напрямки оборони і соціальних видатків і продовжує виконувати свої зобов'язання щодо зовнішнього боргу. Компанії продовжують сплачувати податки, а гроші все ще циркулюють через фінансову систему країни. Після початку повномасштабної військової атаки, бої досі тривають, спричиняючи тисячі жертв серед цивільного населення. Російські атаки спрямовані на знищення цивільної інфраструктури по всій Україні, включаючи лікарні та житлові комплекси. При цьому логістичні шляхи на окупованих територіях були пошкоджені, до них немає доступу. Інші залізничні та автомобільні логістичні маршрути доступні для використання, оскільки Україна має розгалужену автомобільну та залізничну мережу.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Уряд України отримав фінансування та допомогу від міжнародних організацій та різних країн для підтримки фінансової стабільності, фінансування соціальних виплат та військових потреб (Міжнародний валютний фонд, Європейський Союз та безпосередньо від багатьох країн).</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Національний банк України відтермінував рішення про зміну облікової ставки, залишивши її незмінною на рівні 10%, оскільки діють вимушені адміністративні обмеження та поки події в Україні не нормалізуються.</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Національний банк України ввів деякі тимчасові обмеження щодо видачі готівки у великих розмірах, купівлю валюти та перекази за кордон. Офіційний курс долара США було зафіксовано </w:t>
      </w:r>
      <w:r w:rsidRPr="005D12CB">
        <w:rPr>
          <w:rFonts w:ascii="Times New Roman" w:hAnsi="Times New Roman" w:cs="Times New Roman"/>
          <w:sz w:val="24"/>
          <w:szCs w:val="24"/>
        </w:rPr>
        <w:lastRenderedPageBreak/>
        <w:t>на рівні 29.25 гривень для забезпечення надійного та стабільного функціонування фінансової системи країни у зв'язку із введенням воєнного стану. Незважаючи на поточну ситуацію, банківська система залишається стабільно, з достатньою ліквідністю навіть у період дії воєнного стану, усі банківські послуги доступні для її клієнтів, як юридичних, так і фізичних осіб.</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15 березня 2022 року Верховна Рада України прийняла деякі зміни до податкової системи, внесені до Закону України № 2120-IX «Про внесення змін до Податкового кодексу України та інших законодавчих актів України щодо дії норм на період воєнного стану»:</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Times New Roman" w:hAnsi="Times New Roman" w:cs="Times New Roman"/>
          <w:sz w:val="24"/>
          <w:szCs w:val="24"/>
        </w:rPr>
        <w:t>• норми про звільнення від ПДВ у разі постачання товарів на користь Збройних Сил, Нацгвардії та інших військ територіальної оборони України, у тому числі медичних установ, крім випадків, коли такі операції з постачання товарів і послуг оподатковуються нульовим ПДВ;</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Times New Roman" w:hAnsi="Times New Roman" w:cs="Times New Roman"/>
          <w:sz w:val="24"/>
          <w:szCs w:val="24"/>
        </w:rPr>
        <w:t>• бензин, важкі дистиляти, зріджений газ, нафта або нафта обкладаються ПДВ за зниженою ставкою 7%, а акцизним податком на імпортне паливо ставка на групу продуктів – 0,00 євро за 1000 літрів;</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Times New Roman" w:hAnsi="Times New Roman" w:cs="Times New Roman"/>
          <w:sz w:val="24"/>
          <w:szCs w:val="24"/>
        </w:rPr>
        <w:t>• орендодавець звільняється від сплати земельного податку та оренди землі (що стосується державної та комунальної власності), розташованих на територіях:</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Gungsuh" w:eastAsia="Times New Roman" w:hAnsi="Gungsuh" w:cs="Gungsuh"/>
          <w:sz w:val="24"/>
          <w:szCs w:val="24"/>
        </w:rPr>
        <w:t>− на яких ведуться бойові дії;</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Gungsuh" w:eastAsia="Times New Roman" w:hAnsi="Gungsuh" w:cs="Gungsuh"/>
          <w:sz w:val="24"/>
          <w:szCs w:val="24"/>
        </w:rPr>
        <w:t>− тимчасово окуповані території, визначені Кабінетом Міністрів України;</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Gungsuh" w:eastAsia="Times New Roman" w:hAnsi="Gungsuh" w:cs="Gungsuh"/>
          <w:sz w:val="24"/>
          <w:szCs w:val="24"/>
        </w:rPr>
        <w:t>− які визначаються як забруднені вибухонебезпечними предметами та/або містять укріплення.</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Times New Roman" w:hAnsi="Times New Roman" w:cs="Times New Roman"/>
          <w:sz w:val="24"/>
          <w:szCs w:val="24"/>
        </w:rPr>
        <w:t>• екологічний податок не сплачується з об'єктів, розташованих на територіях, де ведуться бойові дії або тимчасово окуповані збройними формуваннями за переліком, визначеним Кабінетом Міністрів України;</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Times New Roman" w:hAnsi="Times New Roman" w:cs="Times New Roman"/>
          <w:sz w:val="24"/>
          <w:szCs w:val="24"/>
        </w:rPr>
        <w:t>• призупинення податкових перевірок до припинення дії воєнного стану (якщо немає запиту на відшкодування бюджету);</w:t>
      </w:r>
    </w:p>
    <w:p w:rsidR="006C6DBE" w:rsidRPr="005D12CB" w:rsidRDefault="006C6DBE" w:rsidP="006C6DBE">
      <w:pPr>
        <w:spacing w:after="0" w:line="240" w:lineRule="auto"/>
        <w:ind w:firstLine="426"/>
        <w:jc w:val="both"/>
        <w:rPr>
          <w:rFonts w:ascii="Times New Roman" w:hAnsi="Times New Roman" w:cs="Times New Roman"/>
          <w:sz w:val="24"/>
          <w:szCs w:val="24"/>
        </w:rPr>
      </w:pPr>
      <w:r w:rsidRPr="005D12CB">
        <w:rPr>
          <w:rFonts w:ascii="Times New Roman" w:hAnsi="Times New Roman" w:cs="Times New Roman"/>
          <w:sz w:val="24"/>
          <w:szCs w:val="24"/>
        </w:rPr>
        <w:t>• та численні інші зміни, які мають набагато менший вплив на діяльність Товариства.</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У березні Рада директорів Європейського банку реконструкції та розвитку (“ЄБРР”) оголосила про початковий пакет заходів для підтримки громадян, компаній та країн, які постраждали від війни в Україні, на суму 2 мільярди євро. Банк також пообіцяв зробити все можливе, щоб допомогти відбудувати країну, як тільки дозволять умови. Фінансування ЄБРР буде доступне для підтримки українських компаній в якості відтермінування кредитів, підтримки ліквідності та фінансування торгівлі. Крім того, Рамкова програма Банку щодо стійкості та засобів до існування допоможе країнам, які безпосередньо постраждали від притоку українських біженців.</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Як тільки дозволятимуть умови, ЄБРР також буде готовий взяти участь у програмі реконструкції України, відновити умови для життя та бізнеси; відновити життєво важливу інфраструктуру; підтримувати належне управління; і надати доступ до послуг.</w:t>
      </w:r>
    </w:p>
    <w:p w:rsidR="006C6DBE" w:rsidRPr="005D12CB" w:rsidRDefault="006C6DBE" w:rsidP="006C6DBE">
      <w:pPr>
        <w:spacing w:after="0" w:line="240" w:lineRule="auto"/>
        <w:jc w:val="both"/>
        <w:rPr>
          <w:rFonts w:ascii="Times New Roman" w:hAnsi="Times New Roman" w:cs="Times New Roman"/>
          <w:sz w:val="10"/>
          <w:szCs w:val="10"/>
          <w:highlight w:val="yellow"/>
        </w:rPr>
      </w:pPr>
    </w:p>
    <w:p w:rsidR="006C6DBE" w:rsidRPr="005D12CB" w:rsidRDefault="006C6DBE" w:rsidP="006C6DBE">
      <w:pPr>
        <w:spacing w:after="0" w:line="240" w:lineRule="auto"/>
        <w:ind w:left="720"/>
        <w:jc w:val="both"/>
        <w:rPr>
          <w:rFonts w:ascii="Times New Roman" w:hAnsi="Times New Roman" w:cs="Times New Roman"/>
          <w:sz w:val="28"/>
          <w:szCs w:val="28"/>
        </w:rPr>
      </w:pPr>
      <w:r w:rsidRPr="005D12CB">
        <w:rPr>
          <w:rFonts w:ascii="Times New Roman" w:hAnsi="Times New Roman" w:cs="Times New Roman"/>
          <w:b/>
          <w:sz w:val="28"/>
          <w:szCs w:val="28"/>
        </w:rPr>
        <w:t xml:space="preserve">2. Загальна основа формування фінансової звітності </w:t>
      </w:r>
    </w:p>
    <w:p w:rsidR="006C6DBE" w:rsidRPr="005D12CB" w:rsidRDefault="006C6DBE" w:rsidP="006C6DBE">
      <w:pPr>
        <w:spacing w:after="0" w:line="240" w:lineRule="auto"/>
        <w:ind w:left="360"/>
        <w:jc w:val="both"/>
        <w:rPr>
          <w:rFonts w:ascii="Times New Roman" w:hAnsi="Times New Roman" w:cs="Times New Roman"/>
          <w:sz w:val="24"/>
          <w:szCs w:val="24"/>
        </w:rPr>
      </w:pPr>
      <w:r w:rsidRPr="005D12CB">
        <w:rPr>
          <w:rFonts w:ascii="Times New Roman" w:hAnsi="Times New Roman" w:cs="Times New Roman"/>
          <w:b/>
          <w:sz w:val="24"/>
          <w:szCs w:val="24"/>
        </w:rPr>
        <w:t xml:space="preserve">2.1. </w:t>
      </w:r>
      <w:r w:rsidRPr="005D12CB">
        <w:rPr>
          <w:rFonts w:ascii="Times New Roman" w:hAnsi="Times New Roman" w:cs="Times New Roman"/>
          <w:b/>
          <w:i/>
          <w:sz w:val="24"/>
          <w:szCs w:val="24"/>
        </w:rPr>
        <w:t xml:space="preserve"> Концептуальна основа фінансової звітності</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Концептуальною основою фінансової звітності Товариства за рік, що закінчився 31 грудня 2020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2020 року, що офіційно оприлюдненні на веб-сайті Міністерства фінансів України.</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2020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lastRenderedPageBreak/>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6C6DBE" w:rsidRPr="005D12CB" w:rsidRDefault="006C6DBE" w:rsidP="006C6DBE">
      <w:pPr>
        <w:shd w:val="clear" w:color="auto" w:fill="FFFFFF"/>
        <w:spacing w:after="0" w:line="240" w:lineRule="auto"/>
        <w:jc w:val="both"/>
        <w:rPr>
          <w:rFonts w:ascii="Times New Roman" w:hAnsi="Times New Roman" w:cs="Times New Roman"/>
          <w:sz w:val="6"/>
          <w:szCs w:val="6"/>
        </w:rPr>
      </w:pPr>
    </w:p>
    <w:p w:rsidR="006C6DBE" w:rsidRPr="005D12CB" w:rsidRDefault="006C6DBE" w:rsidP="006C6DBE">
      <w:pPr>
        <w:spacing w:after="0" w:line="240" w:lineRule="auto"/>
        <w:ind w:left="360"/>
        <w:jc w:val="both"/>
        <w:rPr>
          <w:rFonts w:ascii="Times New Roman" w:hAnsi="Times New Roman" w:cs="Times New Roman"/>
          <w:sz w:val="24"/>
          <w:szCs w:val="24"/>
        </w:rPr>
      </w:pPr>
      <w:r w:rsidRPr="005D12CB">
        <w:rPr>
          <w:rFonts w:ascii="Times New Roman" w:hAnsi="Times New Roman" w:cs="Times New Roman"/>
          <w:b/>
          <w:i/>
          <w:sz w:val="24"/>
          <w:szCs w:val="24"/>
        </w:rPr>
        <w:t>2.3. Припущення про безперервність діяльності</w:t>
      </w:r>
    </w:p>
    <w:p w:rsidR="006C6DBE" w:rsidRPr="005D12CB" w:rsidRDefault="006C6DBE" w:rsidP="006C6DBE">
      <w:pPr>
        <w:shd w:val="clear" w:color="auto" w:fill="FFFFFF"/>
        <w:spacing w:after="0" w:line="240" w:lineRule="auto"/>
        <w:ind w:firstLine="397"/>
        <w:jc w:val="both"/>
        <w:rPr>
          <w:rFonts w:ascii="Times New Roman" w:hAnsi="Times New Roman" w:cs="Times New Roman"/>
          <w:sz w:val="24"/>
          <w:szCs w:val="24"/>
        </w:rPr>
      </w:pPr>
      <w:r w:rsidRPr="005D12CB">
        <w:rPr>
          <w:rFonts w:ascii="Times New Roman" w:hAnsi="Times New Roman" w:cs="Times New Roman"/>
          <w:sz w:val="24"/>
          <w:szCs w:val="24"/>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6C6DBE" w:rsidRPr="005D12CB" w:rsidRDefault="006C6DBE" w:rsidP="006C6DBE">
      <w:pPr>
        <w:shd w:val="clear" w:color="auto" w:fill="FFFFFF"/>
        <w:spacing w:after="0" w:line="240" w:lineRule="auto"/>
        <w:ind w:firstLine="397"/>
        <w:jc w:val="both"/>
      </w:pPr>
      <w:r w:rsidRPr="005D12CB">
        <w:rPr>
          <w:rFonts w:ascii="Times New Roman" w:hAnsi="Times New Roman" w:cs="Times New Roman"/>
          <w:sz w:val="24"/>
          <w:szCs w:val="24"/>
        </w:rPr>
        <w:t>Управлінський персонал, оцінюючи доречність припущення про безперервність діяльності, бере до уваги всю наявну інформацію щодо майбутнього – щонайменше на 12 місяців з кінця звітного періоду.</w:t>
      </w:r>
    </w:p>
    <w:p w:rsidR="006C6DBE" w:rsidRPr="005D12CB" w:rsidRDefault="006C6DBE" w:rsidP="006C6DBE">
      <w:pPr>
        <w:shd w:val="clear" w:color="auto" w:fill="FFFFFF"/>
        <w:spacing w:after="0" w:line="240" w:lineRule="auto"/>
        <w:ind w:firstLine="397"/>
        <w:jc w:val="both"/>
        <w:rPr>
          <w:rFonts w:ascii="Times New Roman" w:hAnsi="Times New Roman" w:cs="Times New Roman"/>
          <w:sz w:val="24"/>
          <w:szCs w:val="24"/>
        </w:rPr>
      </w:pPr>
      <w:r w:rsidRPr="005D12CB">
        <w:rPr>
          <w:rFonts w:ascii="Times New Roman" w:hAnsi="Times New Roman" w:cs="Times New Roman"/>
          <w:sz w:val="24"/>
          <w:szCs w:val="24"/>
        </w:rPr>
        <w:t>На дату затвердження фінансової звітності оцінка безперервності не є однозначною. У періоді між звітною датою та датою затвердження фінансової звітності відбулося військове вторгнення Російської Федерації на територію України. У зв'язку із цим Товариство опинилось в нестабільному середовищі, створеному економічними та військово-політичними факторами, на які Товариство не може впливати.</w:t>
      </w:r>
    </w:p>
    <w:p w:rsidR="006C6DBE" w:rsidRPr="005D12CB" w:rsidRDefault="006C6DBE" w:rsidP="006C6DBE">
      <w:pPr>
        <w:shd w:val="clear" w:color="auto" w:fill="FFFFFF"/>
        <w:spacing w:after="0" w:line="240" w:lineRule="auto"/>
        <w:ind w:firstLine="397"/>
        <w:jc w:val="both"/>
        <w:rPr>
          <w:rFonts w:ascii="Times New Roman" w:hAnsi="Times New Roman" w:cs="Times New Roman"/>
          <w:sz w:val="24"/>
          <w:szCs w:val="24"/>
        </w:rPr>
      </w:pPr>
      <w:r w:rsidRPr="005D12CB">
        <w:rPr>
          <w:rFonts w:ascii="Times New Roman" w:hAnsi="Times New Roman" w:cs="Times New Roman"/>
          <w:sz w:val="24"/>
          <w:szCs w:val="24"/>
        </w:rPr>
        <w:t>Територіально Товариство віддалено від місця активних бойових дій. Однак військові дії, що відбуваються після дати балансу, створюють суттєву невизначеність для Товариства в майбутньому, включаючи ризик пошкодження активів, втрата товарно-матеріальних цінностей або фізична втрата внаслідок військових дій, або привласнення майна на військові потреби відповідно до воєнного стану в Україні. Повна міра впливу подальшого розвитку військових дій на бізнес Товариства невідома, але може бути серйозною.</w:t>
      </w:r>
    </w:p>
    <w:p w:rsidR="006C6DBE" w:rsidRPr="005D12CB" w:rsidRDefault="006C6DBE" w:rsidP="006C6DBE">
      <w:pPr>
        <w:spacing w:after="0" w:line="240" w:lineRule="auto"/>
        <w:ind w:firstLine="397"/>
        <w:jc w:val="both"/>
        <w:rPr>
          <w:rFonts w:ascii="Times New Roman" w:hAnsi="Times New Roman" w:cs="Times New Roman"/>
          <w:sz w:val="24"/>
          <w:szCs w:val="24"/>
        </w:rPr>
      </w:pPr>
      <w:r w:rsidRPr="005D12CB">
        <w:rPr>
          <w:rFonts w:ascii="Times New Roman" w:hAnsi="Times New Roman" w:cs="Times New Roman"/>
          <w:sz w:val="24"/>
          <w:szCs w:val="24"/>
        </w:rPr>
        <w:t xml:space="preserve">Ключовим пріоритетом Товариства є безпека співробітників та їхніх сімей. Товариство координує, наскільки це можливо, евакуацію працівників в більше безпечні регіони та надає необхідну допомогу. Бізнес-процеси були реорганізовані, щоб пристосуватися до існуючих проблем і забезпечити безперервність діяльності Товариства. Ключовий персонал та топ-менеджери Товариства продовжують працювати, в тому числі дистанційно. </w:t>
      </w:r>
    </w:p>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left="360"/>
        <w:jc w:val="both"/>
        <w:rPr>
          <w:rFonts w:ascii="Times New Roman" w:hAnsi="Times New Roman" w:cs="Times New Roman"/>
          <w:sz w:val="24"/>
          <w:szCs w:val="24"/>
        </w:rPr>
      </w:pPr>
      <w:r w:rsidRPr="005D12CB">
        <w:rPr>
          <w:rFonts w:ascii="Times New Roman" w:hAnsi="Times New Roman" w:cs="Times New Roman"/>
          <w:b/>
          <w:i/>
          <w:sz w:val="24"/>
          <w:szCs w:val="24"/>
        </w:rPr>
        <w:t>2.4. Валюта подання звітності та функціональна валюта, ступінь округлення</w:t>
      </w:r>
    </w:p>
    <w:p w:rsidR="006C6DBE" w:rsidRPr="005D12CB" w:rsidRDefault="006C6DBE" w:rsidP="006C6DBE">
      <w:pPr>
        <w:spacing w:after="0" w:line="240" w:lineRule="auto"/>
        <w:ind w:left="708"/>
        <w:jc w:val="both"/>
        <w:rPr>
          <w:rFonts w:ascii="Times New Roman" w:hAnsi="Times New Roman" w:cs="Times New Roman"/>
          <w:sz w:val="24"/>
          <w:szCs w:val="24"/>
        </w:rPr>
      </w:pPr>
      <w:r w:rsidRPr="005D12CB">
        <w:rPr>
          <w:rFonts w:ascii="Times New Roman" w:hAnsi="Times New Roman" w:cs="Times New Roman"/>
          <w:sz w:val="24"/>
          <w:szCs w:val="24"/>
        </w:rPr>
        <w:t xml:space="preserve">Функціональною валютою і валютою подання звітності є українська гривня. Дана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фінансова звітність складена в тисячах гривень, округлених до цілих тисяч, якщо не зазначене інше.</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Коригування статей фінансової звітності на індекс інфляції відповідно до МСБО 29 “Фінансова звітність в умовах гіперінфляції ” не проведено.</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left="708"/>
        <w:jc w:val="both"/>
        <w:rPr>
          <w:rFonts w:ascii="Times New Roman" w:hAnsi="Times New Roman" w:cs="Times New Roman"/>
          <w:sz w:val="10"/>
          <w:szCs w:val="10"/>
        </w:rPr>
      </w:pPr>
    </w:p>
    <w:p w:rsidR="006C6DBE" w:rsidRPr="005D12CB" w:rsidRDefault="006C6DBE" w:rsidP="006C6DBE">
      <w:pPr>
        <w:spacing w:after="0" w:line="240" w:lineRule="auto"/>
        <w:ind w:left="360"/>
        <w:jc w:val="both"/>
        <w:rPr>
          <w:rFonts w:ascii="Times New Roman" w:hAnsi="Times New Roman" w:cs="Times New Roman"/>
          <w:sz w:val="24"/>
          <w:szCs w:val="24"/>
        </w:rPr>
      </w:pPr>
      <w:r w:rsidRPr="005D12CB">
        <w:rPr>
          <w:rFonts w:ascii="Times New Roman" w:hAnsi="Times New Roman" w:cs="Times New Roman"/>
          <w:b/>
          <w:i/>
          <w:sz w:val="24"/>
          <w:szCs w:val="24"/>
        </w:rPr>
        <w:t>2.5. Рішення про затвердження фінансової звітності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Фінансова звітність Товариства затверджена до випуску (з метою оприлюднення) керівником Товариства 24 червня 2022 року. Ні учасники Товариства, ні інші особи не мають права вносити зміни до цієї фінансової звітності після її затвердження до випуску.</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left="360"/>
        <w:jc w:val="both"/>
        <w:rPr>
          <w:rFonts w:ascii="Times New Roman" w:hAnsi="Times New Roman" w:cs="Times New Roman"/>
          <w:sz w:val="24"/>
          <w:szCs w:val="24"/>
        </w:rPr>
      </w:pPr>
      <w:r w:rsidRPr="005D12CB">
        <w:rPr>
          <w:rFonts w:ascii="Times New Roman" w:hAnsi="Times New Roman" w:cs="Times New Roman"/>
          <w:b/>
          <w:i/>
          <w:sz w:val="24"/>
          <w:szCs w:val="24"/>
        </w:rPr>
        <w:t>2.6. Звітний період фінансової звітності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Звітним періодом, за який формується фінансова звітність, вважається календарний рік, тобто період з 01 січня по 31 грудня 2021 року.</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left="720"/>
        <w:jc w:val="both"/>
        <w:rPr>
          <w:rFonts w:ascii="Times New Roman" w:hAnsi="Times New Roman" w:cs="Times New Roman"/>
          <w:sz w:val="28"/>
          <w:szCs w:val="28"/>
        </w:rPr>
      </w:pPr>
      <w:r w:rsidRPr="005D12CB">
        <w:rPr>
          <w:rFonts w:ascii="Times New Roman" w:hAnsi="Times New Roman" w:cs="Times New Roman"/>
          <w:b/>
          <w:sz w:val="28"/>
          <w:szCs w:val="28"/>
        </w:rPr>
        <w:t>3. Суттєві положення облікової політики</w:t>
      </w:r>
    </w:p>
    <w:p w:rsidR="006C6DBE" w:rsidRPr="005D12CB" w:rsidRDefault="006C6DBE" w:rsidP="006C6DBE">
      <w:pPr>
        <w:spacing w:after="0" w:line="240" w:lineRule="auto"/>
        <w:ind w:left="720"/>
        <w:jc w:val="both"/>
        <w:rPr>
          <w:rFonts w:ascii="Times New Roman" w:hAnsi="Times New Roman" w:cs="Times New Roman"/>
          <w:sz w:val="28"/>
          <w:szCs w:val="28"/>
        </w:rPr>
      </w:pPr>
    </w:p>
    <w:p w:rsidR="006C6DBE" w:rsidRPr="005D12CB" w:rsidRDefault="006C6DBE" w:rsidP="006C6DBE">
      <w:pPr>
        <w:numPr>
          <w:ilvl w:val="1"/>
          <w:numId w:val="7"/>
        </w:numPr>
        <w:spacing w:after="0" w:line="240" w:lineRule="auto"/>
        <w:jc w:val="both"/>
        <w:rPr>
          <w:rFonts w:ascii="Times New Roman" w:hAnsi="Times New Roman" w:cs="Times New Roman"/>
          <w:sz w:val="26"/>
          <w:szCs w:val="26"/>
        </w:rPr>
      </w:pPr>
      <w:r w:rsidRPr="005D12CB">
        <w:rPr>
          <w:rFonts w:ascii="Times New Roman" w:hAnsi="Times New Roman" w:cs="Times New Roman"/>
          <w:b/>
          <w:i/>
          <w:sz w:val="26"/>
          <w:szCs w:val="26"/>
        </w:rPr>
        <w:t>Основа (або основи) оцінки, застосована при складанні фінансової звітності</w:t>
      </w:r>
    </w:p>
    <w:p w:rsidR="006C6DBE" w:rsidRPr="005D12CB" w:rsidRDefault="006C6DBE" w:rsidP="006C6DBE">
      <w:pPr>
        <w:spacing w:after="0" w:line="240" w:lineRule="auto"/>
        <w:ind w:left="1080"/>
        <w:jc w:val="both"/>
        <w:rPr>
          <w:rFonts w:ascii="Times New Roman" w:hAnsi="Times New Roman" w:cs="Times New Roman"/>
          <w:sz w:val="26"/>
          <w:szCs w:val="26"/>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lastRenderedPageBreak/>
        <w:t>Дана фінансова звітність підготовлена на основі історичної собівартості та справедливої вартості або амортизаційної собівартості окремих фінансових інструментів відповідно до МСФЗ 9 «Фінансові інструменти». Оцінка справедливої вартості здійснюється з використанням методів оцінки фінансових інструментів, дозволених МСФЗ 13 «Оцінки за справедливою вартістю». Такі методи оцінки включають використання справедливої вартості як ціни, яка була б тримана за продаж активу, або сплачена за передачу зобов'язання у звичайній операції між учасниками ринку на дату оцінки. Зокрема,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numPr>
          <w:ilvl w:val="1"/>
          <w:numId w:val="7"/>
        </w:numPr>
        <w:spacing w:after="0" w:line="240" w:lineRule="auto"/>
        <w:jc w:val="both"/>
        <w:rPr>
          <w:rFonts w:ascii="Times New Roman" w:hAnsi="Times New Roman" w:cs="Times New Roman"/>
          <w:sz w:val="26"/>
          <w:szCs w:val="26"/>
        </w:rPr>
      </w:pPr>
      <w:r w:rsidRPr="005D12CB">
        <w:rPr>
          <w:rFonts w:ascii="Times New Roman" w:hAnsi="Times New Roman" w:cs="Times New Roman"/>
          <w:b/>
          <w:i/>
          <w:sz w:val="26"/>
          <w:szCs w:val="26"/>
        </w:rPr>
        <w:t>Загальні положення щодо облікових політик</w:t>
      </w:r>
    </w:p>
    <w:p w:rsidR="006C6DBE" w:rsidRPr="005D12CB" w:rsidRDefault="006C6DBE" w:rsidP="006C6DBE">
      <w:pPr>
        <w:spacing w:after="0" w:line="240" w:lineRule="auto"/>
        <w:ind w:left="1080"/>
        <w:jc w:val="both"/>
        <w:rPr>
          <w:rFonts w:ascii="Times New Roman" w:hAnsi="Times New Roman" w:cs="Times New Roman"/>
          <w:sz w:val="26"/>
          <w:szCs w:val="26"/>
        </w:rPr>
      </w:pPr>
    </w:p>
    <w:p w:rsidR="006C6DBE" w:rsidRPr="005D12CB" w:rsidRDefault="006C6DBE" w:rsidP="006C6DBE">
      <w:pPr>
        <w:spacing w:after="0" w:line="240" w:lineRule="auto"/>
        <w:ind w:firstLine="360"/>
        <w:jc w:val="both"/>
        <w:rPr>
          <w:rFonts w:ascii="Times New Roman" w:hAnsi="Times New Roman" w:cs="Times New Roman"/>
          <w:sz w:val="24"/>
          <w:szCs w:val="24"/>
        </w:rPr>
      </w:pPr>
      <w:r w:rsidRPr="005D12CB">
        <w:rPr>
          <w:rFonts w:ascii="Times New Roman" w:hAnsi="Times New Roman" w:cs="Times New Roman"/>
          <w:b/>
          <w:i/>
          <w:sz w:val="24"/>
          <w:szCs w:val="24"/>
        </w:rPr>
        <w:t>3.2.1. Основа формування облікових політик</w:t>
      </w:r>
    </w:p>
    <w:p w:rsidR="006C6DBE" w:rsidRPr="005D12CB" w:rsidRDefault="006C6DBE" w:rsidP="006C6DBE">
      <w:pPr>
        <w:spacing w:after="0" w:line="240" w:lineRule="auto"/>
        <w:ind w:firstLine="360"/>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p>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hd w:val="clear" w:color="auto" w:fill="FFFFFF"/>
        <w:spacing w:after="0" w:line="240" w:lineRule="auto"/>
        <w:ind w:firstLine="397"/>
        <w:rPr>
          <w:rFonts w:ascii="Times New Roman" w:hAnsi="Times New Roman" w:cs="Times New Roman"/>
          <w:sz w:val="24"/>
          <w:szCs w:val="24"/>
        </w:rPr>
      </w:pPr>
      <w:r w:rsidRPr="005D12CB">
        <w:rPr>
          <w:rFonts w:ascii="Times New Roman" w:hAnsi="Times New Roman" w:cs="Times New Roman"/>
          <w:b/>
          <w:i/>
          <w:sz w:val="24"/>
          <w:szCs w:val="24"/>
        </w:rPr>
        <w:t>3.2.2. Інформація про зміни в облікових політиках</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обирає та застосовує свої облікові політики послідовно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 1 січня 2020 року Товариство застосовує МСФЗ 15 «Дохід від договорів з клієнтами». Товариство отримує основний дохід від нежитлових приміщень в оренду.  Застосування МСФЗ 15 «Дохід від договорів з клієнтами» на відображення результатів діяльності не мало суттєвого впливу.</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Також з 1 січня 2020 року Товариство застосовує МСФЗ(IFRS) 9 «Фінансові інструменти». Даний стандарт впроваджує нові вимоги до класифікації та оцінки фінансових активів і зобов’язань. Тому положення цього стандарту суттєво впливає на фінансову звітність Товариства. МСФЗ (IFRS) 9 серед іншого передбачає зміну підходів до зменшення корисності фінансових інструментів. Враховуючи класифікацію фінансових активів, що використовується Товариством, розрахунок очікуваних кредитних збитків застосовується до фінансових активів, що оцінюються за амортизованою вартістю. Інформація про облікові політики щодо очікуваних кредитних збитків наведена у примітці 3.3.3.</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Положення облікової політики, описані нижче, застосовувалися послідовно в усіх звітних періодах, наведених в цій фінансовій звітності.</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6"/>
          <w:szCs w:val="6"/>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3.2.3. Форма та назви фінансових звітів</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6"/>
          <w:szCs w:val="6"/>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3.2.4. Методи подання інформації у фінансових звітах</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Згідно МСФЗ та враховуючи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6"/>
          <w:szCs w:val="26"/>
        </w:rPr>
      </w:pPr>
      <w:r w:rsidRPr="005D12CB">
        <w:rPr>
          <w:rFonts w:ascii="Times New Roman" w:hAnsi="Times New Roman" w:cs="Times New Roman"/>
          <w:b/>
          <w:i/>
          <w:sz w:val="26"/>
          <w:szCs w:val="26"/>
        </w:rPr>
        <w:t>3.3</w:t>
      </w:r>
      <w:r w:rsidRPr="005D12CB">
        <w:tab/>
      </w:r>
      <w:r w:rsidRPr="005D12CB">
        <w:rPr>
          <w:rFonts w:ascii="Times New Roman" w:hAnsi="Times New Roman" w:cs="Times New Roman"/>
          <w:b/>
          <w:i/>
          <w:sz w:val="26"/>
          <w:szCs w:val="26"/>
        </w:rPr>
        <w:t>Облікові політики щодо фінансових інструментів</w:t>
      </w:r>
    </w:p>
    <w:p w:rsidR="006C6DBE" w:rsidRPr="005D12CB" w:rsidRDefault="006C6DBE" w:rsidP="006C6DBE">
      <w:pPr>
        <w:widowControl w:val="0"/>
        <w:spacing w:after="0" w:line="240" w:lineRule="auto"/>
        <w:ind w:firstLine="708"/>
        <w:jc w:val="both"/>
        <w:rPr>
          <w:rFonts w:ascii="Times New Roman" w:hAnsi="Times New Roman" w:cs="Times New Roman"/>
          <w:highlight w:val="yellow"/>
        </w:rPr>
      </w:pPr>
      <w:r w:rsidRPr="005D12CB">
        <w:rPr>
          <w:rFonts w:ascii="Times New Roman" w:hAnsi="Times New Roman" w:cs="Times New Roman"/>
          <w:b/>
          <w:i/>
          <w:sz w:val="24"/>
          <w:szCs w:val="24"/>
        </w:rPr>
        <w:t>3.3.1. Визнання та оцінка фінансових інструментів</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визнає фінансовий актив або фінансове зобов’язання у балансі відповідно до МСФЗ,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операції.</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За строком виконання фінансові активи та фінансові зобов’язання поділяються на поточні (зі строком виконання зобов’язань до 12 місяців) та довгострокові (зі строком виконання зобов’язань більше 12 місяців).</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а) моделі бізнесу суб’єкта господарювання для управління фінансовими активами; </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б) характеристик контрактних грошових потоків фінансового активу.</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визнає такі категорії фінансових активів:</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  фінансові активи, що оцінюються за справедливою вартістю, з відображенням результату переоцінки у прибутку або збитку; </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фінансові активи, що оцінюються за амортизованою собівартістю;</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визнає такі категорії фінансових зобов'язань:</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фінансові зобов’язання, оцінені за амортизованою собівартістю;</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фінансові зобов’язання, оцінені за справедливою вартістю, з відображенням результату переоцінки у прибутку або збитку.</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Під час первісного визнання фінансового активу або фінансового зобов'язання Товариство оцінює їх за їхньою справедливою вартістю.</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При припиненні визнання фінансового активу повністю різниця між: </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а) балансовою вартістю (оціненою на дату припинення визнання) та</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б) отриманою компенсацією (включаючи будь-який новий отриманий актив мінус будь-яке нове взяте зобов’язання) визнають у прибутку або збитку.</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Фінансовий актив оцінюється за амортизованою собівартістю, якщо він придбавається з метою одержання договірних грошових потоків і договірні умови фінансового активу генерують грошові потоки, котрі є суто виплатами основної суми та процентів на непогашену частку основної суми.</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визнає резерв під збитки для очікуваних кредитних збитків за фінансовим активом, який обліковується за амортизованою вартістю.</w:t>
      </w:r>
    </w:p>
    <w:p w:rsidR="006C6DBE" w:rsidRPr="005D12CB" w:rsidRDefault="006C6DBE" w:rsidP="006C6DBE">
      <w:pPr>
        <w:widowControl w:val="0"/>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Облікова політика щодо подальшої оцінки фінансових інструментів розкривається нижче у відповідних розділах облікової політики.</w:t>
      </w:r>
    </w:p>
    <w:p w:rsidR="006C6DBE" w:rsidRPr="005D12CB" w:rsidRDefault="006C6DBE" w:rsidP="006C6DBE">
      <w:pPr>
        <w:widowControl w:val="0"/>
        <w:spacing w:after="0" w:line="240" w:lineRule="auto"/>
        <w:ind w:firstLine="708"/>
        <w:jc w:val="both"/>
        <w:rPr>
          <w:rFonts w:ascii="Times New Roman" w:hAnsi="Times New Roman" w:cs="Times New Roman"/>
          <w:sz w:val="10"/>
          <w:szCs w:val="10"/>
          <w:highlight w:val="yellow"/>
        </w:rPr>
      </w:pPr>
    </w:p>
    <w:p w:rsidR="006C6DBE" w:rsidRPr="005D12CB" w:rsidRDefault="006C6DBE" w:rsidP="006C6DBE">
      <w:pPr>
        <w:widowControl w:val="0"/>
        <w:spacing w:after="0" w:line="240" w:lineRule="auto"/>
        <w:jc w:val="both"/>
        <w:rPr>
          <w:rFonts w:ascii="Times New Roman" w:hAnsi="Times New Roman" w:cs="Times New Roman"/>
          <w:sz w:val="6"/>
          <w:szCs w:val="6"/>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highlight w:val="yellow"/>
        </w:rPr>
      </w:pPr>
      <w:r w:rsidRPr="005D12CB">
        <w:rPr>
          <w:rFonts w:ascii="Times New Roman" w:hAnsi="Times New Roman" w:cs="Times New Roman"/>
          <w:b/>
          <w:i/>
          <w:sz w:val="24"/>
          <w:szCs w:val="24"/>
        </w:rPr>
        <w:t>3.3.2. Грошові кошти та їх еквіваленти.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Грошові кошти складаються з готівки в касі та коштів на поточних рахунках у банках.</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lastRenderedPageBreak/>
        <w:t xml:space="preserve"> 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Грошові кошти та їх еквіваленти можуть утримуватися, а операції з ними проводитися в національній валюті та в іноземній валюті.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Іноземна валюта – це валюта інша, ніж функціональна валюта, яка визначена в п.2.3 цих Приміток.</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Грошові кошти та їх еквіваленти визнаються за умови відповідності критеріям визнання активами.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Подальша оцінка грошових коштів здійснюється за справедливою вартістю, яка дорівнює їх номінальній вартості.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 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6C6DBE" w:rsidRPr="005D12CB" w:rsidRDefault="006C6DBE" w:rsidP="006C6DBE">
      <w:pPr>
        <w:spacing w:after="0" w:line="240" w:lineRule="auto"/>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highlight w:val="yellow"/>
        </w:rPr>
      </w:pPr>
      <w:r w:rsidRPr="005D12CB">
        <w:rPr>
          <w:rFonts w:ascii="Times New Roman" w:hAnsi="Times New Roman" w:cs="Times New Roman"/>
          <w:b/>
          <w:i/>
          <w:sz w:val="24"/>
          <w:szCs w:val="24"/>
        </w:rPr>
        <w:t>3.3.3. Фінансові активи, що оцінюються за амортизованою собівартістю</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Фінансовий актив Товариство оцінює за амортизованою собівартістю, якщо виконуються обидві такі умови:</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а) актив утримують в моделі бізнесу, мета якої – утримування активів задля збирання контрактних грошових потоків;</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б) контрактні умови фінансового активу передбачають у певні дати надходження грошових потоків, які є лише погашенням основної суми та сплатою відсотків на непогашену основну суму.</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Для фінансового активу, який оцінюється за амортизованою собівартістю, балансова вартість перераховується шляхом обчислення теперішньої вартості попередньо оцінених майбутніх грошових потоків за первісною ефективною ставкою відсотка фінансового інструмента, або, якщо це можливо, за переглянутою ставкою відсотка.</w:t>
      </w:r>
      <w:r w:rsidRPr="005D12CB">
        <w:rPr>
          <w:rFonts w:ascii="Times New Roman" w:hAnsi="Times New Roman" w:cs="Times New Roman"/>
          <w:sz w:val="24"/>
          <w:szCs w:val="24"/>
        </w:rPr>
        <w:tab/>
        <w:t>До фінансових активів, що оцінюються за амортизованою собівартістю, Товариство відносить облігації, депозити, дебіторську заборгованість, у тому числі позики, та векселі.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Застосовуючи аналіз дисконтованих грошових потоків, Товариство 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здійснюється платіж.</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оцінює станом на кожну звітну дату резерв під збитки за фінансовим інструментом у розмірі, що дорівнює:</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У випадку фінансових активів кредитним збитком є теперішня вартість різниці між договірними грошовими потоками, належними до сплати на користь Товариства за договором; і грошовими потоками, які Товариство очікує одержати на свою користь.</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w:t>
      </w:r>
      <w:r w:rsidRPr="005D12CB">
        <w:rPr>
          <w:rFonts w:ascii="Times New Roman" w:hAnsi="Times New Roman" w:cs="Times New Roman"/>
          <w:sz w:val="24"/>
          <w:szCs w:val="24"/>
        </w:rPr>
        <w:lastRenderedPageBreak/>
        <w:t>Товариство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У випадку фінансового активу, що є кредитно-знеціненим станом на звітну дату, але не є придбаним або створеним кредитно-знеціненим фінансовим активом, Товариство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 яке коригування визнається в прибутку або збитку як прибуток або збиток від зменшення корисності.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визнає банківські депозити зі строком погашення від чотирьох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відносно банківських депозитів має наступну модель розрахунку збитку від знецінення фінансового активу: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при розміщенні депозиту в банку з високою надійністю (інвестиційний рівень рейтингу uaAAA, uaAA, uaA, uaВВВ та банки, що мають прогноз «стабільний»,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 від 3-х місяців до 1 року – 1% від суми розміщення, більше 1 року – 2%;</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від розміру ризиків.</w:t>
      </w:r>
    </w:p>
    <w:p w:rsidR="006C6DBE" w:rsidRPr="005D12CB" w:rsidRDefault="006C6DBE" w:rsidP="006C6DBE">
      <w:pPr>
        <w:shd w:val="clear" w:color="auto" w:fill="FFFFFF"/>
        <w:spacing w:after="0" w:line="240" w:lineRule="auto"/>
        <w:rPr>
          <w:rFonts w:ascii="Times New Roman" w:hAnsi="Times New Roman" w:cs="Times New Roman"/>
          <w:sz w:val="24"/>
          <w:szCs w:val="24"/>
        </w:rPr>
      </w:pPr>
      <w:r w:rsidRPr="005D12CB">
        <w:rPr>
          <w:rFonts w:ascii="Times New Roman" w:hAnsi="Times New Roman" w:cs="Times New Roman"/>
          <w:b/>
          <w:i/>
          <w:sz w:val="24"/>
          <w:szCs w:val="24"/>
        </w:rPr>
        <w:t>Дебіторська заборгованість</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Безумовна дебіторська заборгованість визнається як актив тоді, коли Товариство стає стороною договору та, внаслідок цього, набуває юридичне право одержати грошові кошти. Первісна оцінка дебіторської заборгованості здійснюється за справедливою вартістю.</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Після первісного визнання подальша оцінка дебіторської заборгованості відбувається за амортизованою вартістю. </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sz w:val="10"/>
          <w:szCs w:val="10"/>
        </w:rPr>
      </w:pPr>
    </w:p>
    <w:p w:rsidR="006C6DBE" w:rsidRPr="005D12CB" w:rsidRDefault="006C6DBE" w:rsidP="006C6DBE">
      <w:pPr>
        <w:spacing w:after="0" w:line="240" w:lineRule="auto"/>
        <w:ind w:left="708"/>
        <w:jc w:val="both"/>
        <w:rPr>
          <w:rFonts w:ascii="Times New Roman" w:hAnsi="Times New Roman" w:cs="Times New Roman"/>
          <w:sz w:val="24"/>
          <w:szCs w:val="24"/>
        </w:rPr>
      </w:pPr>
      <w:r w:rsidRPr="005D12CB">
        <w:rPr>
          <w:rFonts w:ascii="Times New Roman" w:hAnsi="Times New Roman" w:cs="Times New Roman"/>
          <w:b/>
          <w:i/>
          <w:sz w:val="24"/>
          <w:szCs w:val="24"/>
        </w:rPr>
        <w:t>3.3.4. Фінансові активи, що оцінюються за справедливою вартістю, з відображенням результату переоцінки у прибутку або збитку</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До фінансових активів, що оцінюються за справедливою вартістю, з відображенням результату переоцінки у прибутку або збитку, відносяться акції та паї (частки) господарських товариств.</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Після первісного визнання Товариство оцінює їх </w:t>
      </w:r>
      <w:r w:rsidRPr="005D12CB">
        <w:rPr>
          <w:rFonts w:ascii="Times" w:eastAsia="Times New Roman" w:hAnsi="Times" w:cs="Times"/>
          <w:sz w:val="24"/>
          <w:szCs w:val="24"/>
        </w:rPr>
        <w:t>за справедливою вартістю.</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Справедлива вартість акцій, які внесені до біржового списку, оцінюється за біржовим курсом організатора торгівлі станом на час закриття останнього біржового дня звітного місяця. У разі відсутності таких котирувань на зазначену дату справедлива вартість цінного папера визначається за його останнім біржовим курсом , що визначений за результатами біржових торгів, </w:t>
      </w:r>
      <w:r w:rsidRPr="005D12CB">
        <w:rPr>
          <w:rFonts w:ascii="Times New Roman" w:hAnsi="Times New Roman" w:cs="Times New Roman"/>
          <w:sz w:val="24"/>
          <w:szCs w:val="24"/>
        </w:rPr>
        <w:lastRenderedPageBreak/>
        <w:t>які відбулися протягом останніх 5 робочих днів звітного місяця. 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Інвестиційні сертифікати первісно оцінюються та відображаються в обліку за собівартістю. Надалі, на кожну наступну, після визнання, дату балансу, придбані інвестиційні сертифікати відображаються за їх справедливою вартістю, яка  визначається з вартості чистих активів ІСІ.</w:t>
      </w:r>
    </w:p>
    <w:p w:rsidR="006C6DBE" w:rsidRPr="005D12CB" w:rsidRDefault="006C6DBE" w:rsidP="006C6DBE">
      <w:pPr>
        <w:spacing w:after="0" w:line="240" w:lineRule="auto"/>
        <w:jc w:val="both"/>
        <w:rPr>
          <w:rFonts w:ascii="Times New Roman" w:hAnsi="Times New Roman" w:cs="Times New Roman"/>
          <w:sz w:val="10"/>
          <w:szCs w:val="10"/>
        </w:rPr>
      </w:pPr>
    </w:p>
    <w:p w:rsidR="006C6DBE" w:rsidRPr="005D12CB" w:rsidRDefault="006C6DBE" w:rsidP="006C6DBE">
      <w:pPr>
        <w:tabs>
          <w:tab w:val="left" w:pos="6361"/>
        </w:tabs>
        <w:spacing w:after="0" w:line="240" w:lineRule="auto"/>
        <w:jc w:val="both"/>
        <w:rPr>
          <w:rFonts w:ascii="Times New Roman" w:hAnsi="Times New Roman" w:cs="Times New Roman"/>
          <w:sz w:val="24"/>
          <w:szCs w:val="24"/>
        </w:rPr>
      </w:pPr>
      <w:r w:rsidRPr="005D12CB">
        <w:rPr>
          <w:rFonts w:ascii="Times New Roman" w:hAnsi="Times New Roman" w:cs="Times New Roman"/>
          <w:b/>
          <w:i/>
          <w:sz w:val="24"/>
          <w:szCs w:val="24"/>
        </w:rPr>
        <w:t>3.3.5. Класифікація та оцінка зобов’язань</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Кредиторська заборгованість визначається як зобов’язання тоді, коли Товариство стає стороною договору та , внаслідок цього, набуває юридичне зобов’язання сплатити грошові кошти</w:t>
      </w:r>
    </w:p>
    <w:p w:rsidR="006C6DBE" w:rsidRPr="005D12CB" w:rsidRDefault="006C6DBE" w:rsidP="006C6DBE">
      <w:pPr>
        <w:tabs>
          <w:tab w:val="left" w:pos="6361"/>
        </w:tabs>
        <w:spacing w:after="0" w:line="240" w:lineRule="auto"/>
        <w:jc w:val="both"/>
        <w:rPr>
          <w:rFonts w:ascii="Times New Roman" w:hAnsi="Times New Roman" w:cs="Times New Roman"/>
          <w:sz w:val="24"/>
          <w:szCs w:val="24"/>
          <w:u w:val="single"/>
        </w:rPr>
      </w:pPr>
      <w:r w:rsidRPr="005D12CB">
        <w:rPr>
          <w:rFonts w:ascii="Times New Roman" w:hAnsi="Times New Roman" w:cs="Times New Roman"/>
          <w:b/>
          <w:i/>
          <w:sz w:val="24"/>
          <w:szCs w:val="24"/>
          <w:u w:val="single"/>
        </w:rPr>
        <w:t>Фінансові зобов’язання</w:t>
      </w:r>
      <w:r w:rsidRPr="005D12CB">
        <w:rPr>
          <w:rFonts w:ascii="Times New Roman" w:hAnsi="Times New Roman" w:cs="Times New Roman"/>
          <w:b/>
          <w:i/>
          <w:sz w:val="24"/>
          <w:szCs w:val="24"/>
        </w:rPr>
        <w:tab/>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ab/>
        <w:t>Товариство класифікує та оцінює фінансові зобов’язання наступним чином:</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а)</w:t>
      </w:r>
      <w:r w:rsidRPr="005D12CB">
        <w:rPr>
          <w:rFonts w:ascii="Times New Roman" w:hAnsi="Times New Roman" w:cs="Times New Roman"/>
          <w:sz w:val="24"/>
          <w:szCs w:val="24"/>
        </w:rPr>
        <w:tab/>
        <w:t>Фінансові зобов’язання, які в подальшому оцінюються за амортизованою собівартістю;</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б)</w:t>
      </w:r>
      <w:r w:rsidRPr="005D12CB">
        <w:rPr>
          <w:rFonts w:ascii="Times New Roman" w:hAnsi="Times New Roman" w:cs="Times New Roman"/>
          <w:sz w:val="24"/>
          <w:szCs w:val="24"/>
        </w:rPr>
        <w:tab/>
        <w:t>Фінансові зобов'язання, що оцінюються за справедливою вартістю через прибуток або збиток. Такі зобов'язання, включаючи похідні інструменти, що є зобов'язаннями, надалі оцінюються за справедливою вартістю.</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має право під час первісного визнання безвідклично призначити фінансове зобов'язання як таке, що оцінюється за справедливою вартістю через прибуток або збиток, якщо таке рішення забезпечує надання більш доречної інформації через одну з таких причин: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(і) воно усуває або значно зменшує невідповідність в оцінці або визнанні, що в іншому випадку виникла б при оцінці активів або зобов'язань, або при визнанні прибутків і збитків за ними на різних основах;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або (іі) група фінансових зобов’язань або фінансових активів і фінансових зобов'язань перебуває в управлінні, а її показники ефективності оцінюються на основі справедливої вартості згідно з документально оформленою стратегією управління ризиком або стратегією інвестування, причому інформація про групу для внутрішнього користування подається на цій основі провідному управлінському персоналу Товариства.</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в)</w:t>
      </w:r>
      <w:r w:rsidRPr="005D12CB">
        <w:rPr>
          <w:rFonts w:ascii="Times New Roman" w:hAnsi="Times New Roman" w:cs="Times New Roman"/>
          <w:sz w:val="24"/>
          <w:szCs w:val="24"/>
        </w:rPr>
        <w:tab/>
        <w:t>Фінансові зобов'язання, що виникають у разі невідповідності передавання фінансового активу критеріям для припинення визнання або в разі застосування підходу подальшої участі. Оцінка таких фінансових зобов'язань наведена нижче.</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Якщо передавання не тягне за собою припинення визнання через те, що Товариство в основному зберігає за собою всі ризики та вигоди від володіння переданим активом, то Товариство продовжує визнавати переданий актив у цілому та визнає фінансове зобов'язання в розмірі одержаної компенсації.</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lastRenderedPageBreak/>
        <w:t>Якщо Товариство продовжує визнавати актив в обсязі своєї подальшої участі, то Товариство визнає також відповідне зобов'язання. Переданий актив та відповідне зобов'язання оцінюються на основі, що відображає права та обов'язки, збережені Товариством. Відповідне зобов'язання оцінюється в такий спосіб, що чиста балансова вартість переданого активу та відповідного зобов'язання: (і) є амортизованою собівартістю прав та обов'язків, збережених Товариством, якщо переданий актив оцінюється за амортизованою собівартістю; або (іі) дорівнює справедливій вартості прав та обов'язків, збережених Товариством, за умови окремої оцінки, якщо переданий актив оцінюється за справедливою вартістю.</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г)</w:t>
      </w:r>
      <w:r w:rsidRPr="005D12CB">
        <w:rPr>
          <w:rFonts w:ascii="Times New Roman" w:hAnsi="Times New Roman" w:cs="Times New Roman"/>
          <w:sz w:val="24"/>
          <w:szCs w:val="24"/>
        </w:rPr>
        <w:tab/>
        <w:t>Договори фінансової гарантії. Після первісного визнання такий договір (якщо не застосовується п. (а) або (б) надалі оцінюється за більшою з таких сум: (i) сумою резерву під збитки, і (ii) первісно визнаною сумою (Товариство під час первісного визнання оцінює фінансове зобов'язання за його справедливою вартістю плюс або мінус (у випадку фінансового зобов'язання, що не оцінюються за справедливою вартістю через прибуток або збиток) витрати на операцію, що можуть бути безпосередньо віднесені на придбання фінансового зобов'язання) за вирахуванням, за потреби, сукупного розміру доходу, визнаного згідно з принципами МСФЗ 15.</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д)</w:t>
      </w:r>
      <w:r w:rsidRPr="005D12CB">
        <w:rPr>
          <w:rFonts w:ascii="Times New Roman" w:hAnsi="Times New Roman" w:cs="Times New Roman"/>
          <w:sz w:val="24"/>
          <w:szCs w:val="24"/>
        </w:rPr>
        <w:tab/>
        <w:t>Зобов'язання із надання позики за ставкою відсотка, нижчою від ринкової. Таке зобов’язання (якщо не застосовується п. (а) надалі оцінює його за більшою з таких сум: (i) сумою резерву під збитки, і (ii) первісно визнаною сумою, порядок визначення якої наведено у п. г, за вирахуванням, за потреби, сукупного розміру доходу, визнаного згідно з принципами МСФЗ 15.</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е)</w:t>
      </w:r>
      <w:r w:rsidRPr="005D12CB">
        <w:rPr>
          <w:rFonts w:ascii="Times New Roman" w:hAnsi="Times New Roman" w:cs="Times New Roman"/>
          <w:sz w:val="24"/>
          <w:szCs w:val="24"/>
        </w:rPr>
        <w:tab/>
        <w:t>Умовна компенсація, визнана набувачем при об'єднанні бізнесу, до якого застосовується МСФЗ 3. Така умовна компенсація надалі оцінюється за справедливою вартістю з визнанням змін у прибутку або збитку.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b/>
          <w:i/>
          <w:sz w:val="24"/>
          <w:szCs w:val="24"/>
          <w:u w:val="single"/>
        </w:rPr>
        <w:t>Поточні зобов’язання</w:t>
      </w:r>
      <w:r w:rsidRPr="005D12CB">
        <w:rPr>
          <w:rFonts w:ascii="Times New Roman" w:hAnsi="Times New Roman" w:cs="Times New Roman"/>
          <w:sz w:val="24"/>
          <w:szCs w:val="24"/>
        </w:rPr>
        <w:t xml:space="preserve"> – це зобов'язання, які відповідають одній або декільком із нижченаведених оцінок:</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Керівництво Товариства сподівається погасити зобов'язання або зобов'язання підлягає погашенню протягом дванадцяти місяців після звітного періоду;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Керівництво Товариства не має безумовного права відстрочити погашення зобов'язання протягом щонайменше дванадцяти місяців після звітного періоду.</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Поточні зобов'язання визнаються за умови відповідності визначенню і критеріям визнання зобов'язань.</w:t>
      </w:r>
    </w:p>
    <w:p w:rsidR="006C6DBE" w:rsidRPr="005D12CB" w:rsidRDefault="006C6DBE" w:rsidP="006C6DBE">
      <w:pPr>
        <w:spacing w:after="0" w:line="240" w:lineRule="auto"/>
        <w:ind w:firstLine="708"/>
        <w:jc w:val="both"/>
        <w:rPr>
          <w:rFonts w:ascii="Times New Roman" w:hAnsi="Times New Roman" w:cs="Times New Roman"/>
          <w:sz w:val="10"/>
          <w:szCs w:val="10"/>
          <w:highlight w:val="yellow"/>
        </w:rPr>
      </w:pPr>
    </w:p>
    <w:p w:rsidR="006C6DBE" w:rsidRPr="005D12CB" w:rsidRDefault="006C6DBE" w:rsidP="006C6DBE">
      <w:pPr>
        <w:widowControl w:val="0"/>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b/>
          <w:i/>
          <w:sz w:val="24"/>
          <w:szCs w:val="24"/>
        </w:rPr>
        <w:t>3.3.6. Згортання фінансових активів та зобов'язань.</w:t>
      </w:r>
    </w:p>
    <w:p w:rsidR="006C6DBE" w:rsidRPr="005D12CB" w:rsidRDefault="006C6DBE" w:rsidP="006C6DBE">
      <w:pPr>
        <w:widowControl w:val="0"/>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6C6DBE" w:rsidRPr="005D12CB" w:rsidRDefault="006C6DBE" w:rsidP="006C6DBE">
      <w:pPr>
        <w:widowControl w:val="0"/>
        <w:spacing w:after="0" w:line="240" w:lineRule="auto"/>
        <w:ind w:firstLine="709"/>
        <w:jc w:val="both"/>
        <w:rPr>
          <w:rFonts w:ascii="Times New Roman" w:hAnsi="Times New Roman" w:cs="Times New Roman"/>
          <w:sz w:val="24"/>
          <w:szCs w:val="24"/>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6"/>
          <w:szCs w:val="26"/>
        </w:rPr>
      </w:pPr>
      <w:r w:rsidRPr="005D12CB">
        <w:rPr>
          <w:rFonts w:ascii="Times New Roman" w:hAnsi="Times New Roman" w:cs="Times New Roman"/>
          <w:b/>
          <w:i/>
          <w:sz w:val="26"/>
          <w:szCs w:val="26"/>
        </w:rPr>
        <w:t>3.4. Облікові політики щодо основних засобів та нематеріальних активів</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b/>
          <w:i/>
          <w:sz w:val="24"/>
          <w:szCs w:val="24"/>
        </w:rPr>
        <w:t>3.4.1. Основні засоби</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Визнаються в якості активів, якщо існує впевненість в тому, що Товариство отримає  певні економічні вироки  в майбутньому та вартість  таких активів може бути достовірно оцінена. Основні засоби визнаються в фінансовій звітності за вартістю придбання або створення, включаючи невідшкодовані податки, а також будь які додаткові витрати, які пов’язані з приведенням основного засобу в робочий стан та їх доставкою. Підприємство визнає матеріальний об'єкт основним засобом, якщо він утримується з метою використання його у процесі своєї діяльності, виконання робіт,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 В подальшому основні засоби відображаються у фінансовій звітності  за історичною вартістю за вирахуванням накопиченої амортизації та накопичених збитків від знецінення.</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lastRenderedPageBreak/>
        <w:t xml:space="preserve"> Витрати на щоденне обслуговування об’єктів основних засобів (витрати на робочу силу і витратні матеріали, витрати на придбання комплектуючих частин, поточний ремонт тощо) визнаються у складі прибутків і збитків по мірі їх здійснення.</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 xml:space="preserve">Витрати на реконструкцію та модернізацію об’єктів основних засобів капіталізуються у вартість цих об’єктів.       </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Компанія нараховує амортизацію основних засобів рівними частками протягом строку корисного використання основних засобів. Компанія починає нарахування амортизації на об’єкти незавершеного будівництва після доведення об’єкта  до стану готовності до використання. Амортизаційні нарахування за кожний період  відображаються у складі прибутків і збитків.</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Термін корисної служби основного засобу встановлюється виходячи з періоду часу, протягом якого організація передбачає використовувати актив.</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Терміни амортизації, які приблизно відповідають розрахунковим термінам корисного використання  відповідних активів, наводяться в таблиці нижче:</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ab/>
      </w:r>
      <w:r w:rsidRPr="005D12CB">
        <w:rPr>
          <w:rFonts w:ascii="Times New Roman" w:hAnsi="Times New Roman" w:cs="Times New Roman"/>
          <w:sz w:val="24"/>
          <w:szCs w:val="24"/>
        </w:rPr>
        <w:tab/>
      </w:r>
    </w:p>
    <w:tbl>
      <w:tblPr>
        <w:tblW w:w="969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8"/>
        <w:gridCol w:w="5098"/>
      </w:tblGrid>
      <w:tr w:rsidR="006C6DBE" w:rsidRPr="005D12CB" w:rsidTr="00794AE4">
        <w:tc>
          <w:tcPr>
            <w:tcW w:w="9696" w:type="dxa"/>
            <w:gridSpan w:val="2"/>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 xml:space="preserve">          Назва                                                      Кількість років</w:t>
            </w:r>
          </w:p>
        </w:tc>
      </w:tr>
      <w:tr w:rsidR="006C6DBE" w:rsidRPr="005D12CB" w:rsidTr="00794AE4">
        <w:tc>
          <w:tcPr>
            <w:tcW w:w="459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Будівлі</w:t>
            </w:r>
          </w:p>
        </w:tc>
        <w:tc>
          <w:tcPr>
            <w:tcW w:w="509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20</w:t>
            </w:r>
          </w:p>
        </w:tc>
      </w:tr>
      <w:tr w:rsidR="006C6DBE" w:rsidRPr="005D12CB" w:rsidTr="00794AE4">
        <w:tc>
          <w:tcPr>
            <w:tcW w:w="459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Машини та обладнання</w:t>
            </w:r>
          </w:p>
        </w:tc>
        <w:tc>
          <w:tcPr>
            <w:tcW w:w="509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w:t>
            </w:r>
          </w:p>
        </w:tc>
      </w:tr>
      <w:tr w:rsidR="006C6DBE" w:rsidRPr="005D12CB" w:rsidTr="00794AE4">
        <w:tc>
          <w:tcPr>
            <w:tcW w:w="459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Транспортні засоби</w:t>
            </w:r>
          </w:p>
        </w:tc>
        <w:tc>
          <w:tcPr>
            <w:tcW w:w="509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w:t>
            </w:r>
          </w:p>
        </w:tc>
      </w:tr>
      <w:tr w:rsidR="006C6DBE" w:rsidRPr="005D12CB" w:rsidTr="00794AE4">
        <w:tc>
          <w:tcPr>
            <w:tcW w:w="459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Інструменти, прилади, інвентар, меблі</w:t>
            </w:r>
          </w:p>
        </w:tc>
        <w:tc>
          <w:tcPr>
            <w:tcW w:w="509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w:t>
            </w:r>
          </w:p>
        </w:tc>
      </w:tr>
      <w:tr w:rsidR="006C6DBE" w:rsidRPr="005D12CB" w:rsidTr="00794AE4">
        <w:tc>
          <w:tcPr>
            <w:tcW w:w="459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Інші основні засоби</w:t>
            </w:r>
            <w:r w:rsidRPr="005D12CB">
              <w:rPr>
                <w:rFonts w:ascii="Times New Roman" w:hAnsi="Times New Roman" w:cs="Times New Roman"/>
                <w:sz w:val="24"/>
                <w:szCs w:val="24"/>
              </w:rPr>
              <w:tab/>
            </w:r>
          </w:p>
        </w:tc>
        <w:tc>
          <w:tcPr>
            <w:tcW w:w="509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12</w:t>
            </w:r>
          </w:p>
        </w:tc>
      </w:tr>
    </w:tbl>
    <w:p w:rsidR="006C6DBE" w:rsidRPr="005D12CB" w:rsidRDefault="006C6DBE" w:rsidP="006C6DBE">
      <w:pPr>
        <w:spacing w:after="0" w:line="240" w:lineRule="auto"/>
        <w:ind w:left="357" w:firstLine="709"/>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Ліквідаційна вартість активу являє собою оцінку суми, яку Компанія могла б отримати в даний момент від продажу активу за вирахуванням розрахункових витрат на продаж виходячи з припущення, що вік активу та його технічний стан вже відповідають очікуваному в кінці строку його корисного використання. Ліквідаційна вартість активів та строки їх корисного використання переглядаються і при необхідності коректуються станом на кожну звітну дату. Керівництво оцінює залишковий строк корисного використання основних засобів відповідно з поточним технічним станом основних засобів</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rPr>
          <w:rFonts w:ascii="Times New Roman" w:hAnsi="Times New Roman" w:cs="Times New Roman"/>
          <w:sz w:val="24"/>
          <w:szCs w:val="24"/>
        </w:rPr>
      </w:pPr>
      <w:r w:rsidRPr="005D12CB">
        <w:rPr>
          <w:rFonts w:ascii="Times New Roman" w:hAnsi="Times New Roman" w:cs="Times New Roman"/>
          <w:b/>
          <w:i/>
          <w:sz w:val="24"/>
          <w:szCs w:val="24"/>
        </w:rPr>
        <w:t>3.4.2 Інвестиційна нерухомість</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Облік інвестиційної нерухомості здійснюється згідно МСФЗ 40 «Інвестиційна нерухомість» за справедливою вартістю.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Інвестиційна нерухомість - нерухомість (земля чи будівля, або частина будівлі, або їх поєднання), утримувана (власником або орендарем згідно з угодою про фінансову оренду) з метою отримання орендних платежів або збільшення вартості капіталу чи для досягнення обох цілей, а не для:</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а) використання у виробництві чи при постачанні товарів, при наданні послуг чи для адміністративних цілей, або</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б) продажу в звичайному ході діяльності.</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Справедлива вартість - сума, за якою можна обміняти актив в операції між обізнаними, зацікавленими та незалежними сторонами.</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Згідно пп. 33-35 МСФЗ № 40, «суб'єктові господарювання, який обирає модель справедливої вартості, після первісного визнання слід оцінювати всю його інвестиційну нерухомість за її справедливою вартістю.</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Якщо частка нерухомості, утримувана орендарем за угодою про операційну оренду, класифікується як інвестиційна нерухомість згідно з параграфом 6, то положення параграфа 30 не є альтернативою; треба застосовувати модель справедливої вартості.</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Прибуток або збиток від зміни в справедливій вартості інвестиційної нерухомості слід визнавати в прибутку або збитку за період, у якому він виникає».</w:t>
      </w:r>
    </w:p>
    <w:p w:rsidR="006C6DBE" w:rsidRPr="005D12CB" w:rsidRDefault="006C6DBE" w:rsidP="006C6DBE">
      <w:pPr>
        <w:spacing w:after="0" w:line="240" w:lineRule="auto"/>
        <w:ind w:firstLine="709"/>
        <w:jc w:val="both"/>
        <w:rPr>
          <w:rFonts w:ascii="Times New Roman" w:hAnsi="Times New Roman" w:cs="Times New Roman"/>
          <w:sz w:val="24"/>
          <w:szCs w:val="24"/>
        </w:rPr>
      </w:pP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b/>
          <w:i/>
          <w:sz w:val="24"/>
          <w:szCs w:val="24"/>
        </w:rPr>
        <w:t xml:space="preserve">3.4.3. Нематеріальні активи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lastRenderedPageBreak/>
        <w:t xml:space="preserve">    Нематеріальні активи включають, головним чином, права на геологічне вивчення та видобування корисних копалин, а також програмне забезпечення. Товариство використовує модель собівартості для всіх груп нематеріальних активів.</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   Нематеріальні активи відображаються за первісною вартістю, за вирахуванням накопиченої амортизації та збитків від зменшення корисності, якщо такі є. У випадку зменшення корисності балансова вартість нематеріальних активів списується до більшої з величин: вартості у використанні та справедливої вартості, за вирахуванням витрат на продаж.</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   Нарахування амортизації інших нематеріальних активів здійснюється прямолінійним методом протягом строку їх корисного використання. Строки корисного використання інших нематеріальних активів становить від 2 до 10 років.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Всі нематеріальні активи підприємства діляться на дві категорії:</w:t>
      </w:r>
    </w:p>
    <w:p w:rsidR="006C6DBE" w:rsidRPr="005D12CB" w:rsidRDefault="006C6DBE" w:rsidP="006C6DBE">
      <w:pPr>
        <w:numPr>
          <w:ilvl w:val="0"/>
          <w:numId w:val="4"/>
        </w:num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активи з визначеним терміном використання, що амортизуються;</w:t>
      </w:r>
    </w:p>
    <w:p w:rsidR="006C6DBE" w:rsidRPr="005D12CB" w:rsidRDefault="006C6DBE" w:rsidP="006C6DBE">
      <w:pPr>
        <w:numPr>
          <w:ilvl w:val="0"/>
          <w:numId w:val="4"/>
        </w:num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активи з невизначеним терміном використанням, які не амортизуються.</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      Витрати на розробки визнаються як витрати в момент їх здійснення, але у виняткових  випадках підлягають капіталізації, якщо відповідають критеріям визнання нематеріального активу.</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Строком корисного використання для НМА з певним терміном використання є період часу, протягом якого організація передбачає використовувати цей актив.</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 xml:space="preserve">Амортизація визнається у прибутку або збитку, за винятком випадків, коли втілені в активі економічні вироки поглинаються при виробництві інших активів. У цьому випадку амортизація становить частину собівартості іншого активу та включається до його балансової вартості. </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Підприємство розглядає нематеріальний актив як такий, що має невизначений термін корисної служби, якщо аналіз всіх значущих чинників вказує на відсутність передбачуваної межі у періоду, протягом якого, як очікується, даний актив буде генерувати чисті притоки грошових коштів у цю організацію. Нематеріальний актив з невизначеним строком корисної служби не амортизується.</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Підприємство тестує нематеріальний актив як такий з невизначеним строком корисної служби на предмет знецінення шляхом зіставлення вартості відшкодування з його балансовою вартістю щорічно та за наявності ознак зменшення корисності.</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Термін корисної служби нематеріального активу, що не амортизується, аналізується компанією щорічно на предмет з'ясування, чи продовжують події та обставини забезпечувати правильність оцінки, згідно з якою даний актив має невизначений термін корисної служби. У разі негативної відповіді, зміна в оцінці терміну корисної служби з невизначеного на визначений підлягає відображенню в обліку як  зміну  в обліковій оцінці згідно МСФЗ (IAS) 8 «Облікові політики, зміни в облікових оцінках та помилки».</w:t>
      </w:r>
    </w:p>
    <w:p w:rsidR="006C6DBE" w:rsidRPr="005D12CB" w:rsidRDefault="006C6DBE" w:rsidP="006C6DBE">
      <w:pPr>
        <w:spacing w:after="0" w:line="240" w:lineRule="auto"/>
        <w:ind w:firstLine="709"/>
        <w:jc w:val="both"/>
        <w:rPr>
          <w:rFonts w:ascii="Times New Roman" w:hAnsi="Times New Roman" w:cs="Times New Roman"/>
          <w:sz w:val="24"/>
          <w:szCs w:val="24"/>
        </w:rPr>
      </w:pP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b/>
          <w:i/>
          <w:sz w:val="24"/>
          <w:szCs w:val="24"/>
        </w:rPr>
        <w:t>3.4.4. Зменшення корисності основних засобів та нематеріальних активів</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Товариство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6C6DBE" w:rsidRPr="005D12CB" w:rsidRDefault="006C6DBE" w:rsidP="006C6DBE">
      <w:pPr>
        <w:spacing w:after="0" w:line="240" w:lineRule="auto"/>
        <w:ind w:firstLine="709"/>
        <w:jc w:val="both"/>
        <w:rPr>
          <w:rFonts w:ascii="Times New Roman" w:hAnsi="Times New Roman" w:cs="Times New Roman"/>
          <w:sz w:val="24"/>
          <w:szCs w:val="24"/>
        </w:rPr>
      </w:pPr>
    </w:p>
    <w:p w:rsidR="006C6DBE" w:rsidRPr="005D12CB" w:rsidRDefault="006C6DBE" w:rsidP="006C6DBE">
      <w:pPr>
        <w:spacing w:after="0" w:line="240" w:lineRule="auto"/>
        <w:ind w:firstLine="709"/>
        <w:jc w:val="both"/>
        <w:rPr>
          <w:rFonts w:ascii="Times New Roman" w:hAnsi="Times New Roman" w:cs="Times New Roman"/>
          <w:sz w:val="6"/>
          <w:szCs w:val="6"/>
        </w:rPr>
      </w:pPr>
    </w:p>
    <w:p w:rsidR="006C6DBE" w:rsidRPr="005D12CB" w:rsidRDefault="006C6DBE" w:rsidP="006C6DBE">
      <w:pPr>
        <w:spacing w:after="0" w:line="240" w:lineRule="auto"/>
        <w:ind w:firstLine="709"/>
        <w:jc w:val="both"/>
        <w:rPr>
          <w:rFonts w:ascii="Times New Roman" w:hAnsi="Times New Roman" w:cs="Times New Roman"/>
          <w:sz w:val="26"/>
          <w:szCs w:val="26"/>
        </w:rPr>
      </w:pPr>
      <w:r w:rsidRPr="005D12CB">
        <w:rPr>
          <w:rFonts w:ascii="Times New Roman" w:hAnsi="Times New Roman" w:cs="Times New Roman"/>
          <w:b/>
          <w:i/>
          <w:sz w:val="24"/>
          <w:szCs w:val="24"/>
        </w:rPr>
        <w:t>3.5</w:t>
      </w:r>
      <w:r w:rsidRPr="005D12CB">
        <w:rPr>
          <w:rFonts w:ascii="Times New Roman" w:hAnsi="Times New Roman" w:cs="Times New Roman"/>
          <w:b/>
          <w:i/>
          <w:sz w:val="26"/>
          <w:szCs w:val="26"/>
        </w:rPr>
        <w:t>. Облікові політики щодо податку на прибуток</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lastRenderedPageBreak/>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 Відстрочені податкові зобов'язання визнаються, як правило, щодо всіх тимчасових різниць, що підлягають оподаткуванню. 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 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rsidR="006C6DBE" w:rsidRPr="005D12CB" w:rsidRDefault="006C6DBE" w:rsidP="006C6DBE">
      <w:pPr>
        <w:spacing w:after="0" w:line="240" w:lineRule="auto"/>
        <w:ind w:firstLine="708"/>
        <w:jc w:val="both"/>
        <w:rPr>
          <w:rFonts w:ascii="Times New Roman" w:hAnsi="Times New Roman" w:cs="Times New Roman"/>
          <w:sz w:val="26"/>
          <w:szCs w:val="26"/>
        </w:rPr>
      </w:pPr>
    </w:p>
    <w:p w:rsidR="006C6DBE" w:rsidRPr="005D12CB" w:rsidRDefault="006C6DBE" w:rsidP="006C6DBE">
      <w:pPr>
        <w:spacing w:after="0" w:line="240" w:lineRule="auto"/>
        <w:ind w:firstLine="708"/>
        <w:jc w:val="both"/>
        <w:rPr>
          <w:rFonts w:ascii="Times New Roman" w:hAnsi="Times New Roman" w:cs="Times New Roman"/>
          <w:sz w:val="10"/>
          <w:szCs w:val="10"/>
        </w:rPr>
      </w:pPr>
      <w:r w:rsidRPr="005D12CB">
        <w:rPr>
          <w:rFonts w:ascii="Times New Roman" w:hAnsi="Times New Roman" w:cs="Times New Roman"/>
          <w:b/>
          <w:i/>
          <w:sz w:val="26"/>
          <w:szCs w:val="26"/>
        </w:rPr>
        <w:t>3.6. Облікові політики щодо інших активів та зобов’язань</w:t>
      </w:r>
    </w:p>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b/>
          <w:i/>
          <w:sz w:val="24"/>
          <w:szCs w:val="24"/>
        </w:rPr>
        <w:t>3.6.1. Забезпечення</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також створює резерв витрат на оплату щорічних (основних та додаткових) відпусток. Розрахунок такого резерву здійснюється на підставі правил Облікової політики Товариства. Розмір створеного резерву оплати відпусток підлягає інвентаризації на кінець року. Розмір відрахувань до резерву відпусток, включаючи відрахування на соціальне страхування з цих сум, розраховуються виходячи з кількості днів фактично невикористаної працівниками відпустки та їхнього середньоденного заробітку на момент проведення такого розрахунку. Також можуть враховуватися інші об’єктивні фактори, що впливають на розрахунок цього показника. У разі необхідності робиться коригуюча проводка в бухгалтерському обліку згідно даних інвентаризації резерву відпусток.</w:t>
      </w:r>
    </w:p>
    <w:p w:rsidR="006C6DBE" w:rsidRPr="005D12CB" w:rsidRDefault="006C6DBE" w:rsidP="006C6DBE">
      <w:pPr>
        <w:spacing w:after="0" w:line="240" w:lineRule="auto"/>
        <w:ind w:firstLine="708"/>
        <w:jc w:val="both"/>
        <w:rPr>
          <w:rFonts w:ascii="Times New Roman" w:hAnsi="Times New Roman" w:cs="Times New Roman"/>
          <w:sz w:val="10"/>
          <w:szCs w:val="10"/>
          <w:highlight w:val="yellow"/>
        </w:rPr>
      </w:pPr>
    </w:p>
    <w:p w:rsidR="006C6DBE" w:rsidRPr="005D12CB" w:rsidRDefault="006C6DBE" w:rsidP="006C6DBE">
      <w:pPr>
        <w:shd w:val="clear" w:color="auto" w:fill="FFFFFF"/>
        <w:spacing w:after="0" w:line="240" w:lineRule="auto"/>
        <w:ind w:firstLine="708"/>
        <w:rPr>
          <w:rFonts w:ascii="Times New Roman" w:hAnsi="Times New Roman" w:cs="Times New Roman"/>
          <w:sz w:val="24"/>
          <w:szCs w:val="24"/>
        </w:rPr>
      </w:pPr>
      <w:r w:rsidRPr="005D12CB">
        <w:rPr>
          <w:rFonts w:ascii="Times New Roman" w:hAnsi="Times New Roman" w:cs="Times New Roman"/>
          <w:b/>
          <w:i/>
          <w:sz w:val="24"/>
          <w:szCs w:val="24"/>
        </w:rPr>
        <w:t>3.6.2. Виплати працівникам</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6C6DBE" w:rsidRPr="005D12CB" w:rsidRDefault="006C6DBE" w:rsidP="006C6DBE">
      <w:pPr>
        <w:shd w:val="clear" w:color="auto" w:fill="FFFFFF"/>
        <w:spacing w:after="0" w:line="240" w:lineRule="auto"/>
        <w:ind w:firstLine="708"/>
        <w:rPr>
          <w:rFonts w:ascii="Times New Roman" w:hAnsi="Times New Roman" w:cs="Times New Roman"/>
          <w:sz w:val="24"/>
          <w:szCs w:val="24"/>
        </w:rPr>
      </w:pPr>
      <w:r w:rsidRPr="005D12CB">
        <w:rPr>
          <w:rFonts w:ascii="Times New Roman" w:hAnsi="Times New Roman" w:cs="Times New Roman"/>
          <w:b/>
          <w:i/>
          <w:sz w:val="24"/>
          <w:szCs w:val="24"/>
        </w:rPr>
        <w:t>3.6.3. Пенсійні зобов'язання</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 </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p>
    <w:p w:rsidR="006C6DBE" w:rsidRPr="005D12CB" w:rsidRDefault="006C6DBE" w:rsidP="006C6DBE">
      <w:pPr>
        <w:widowControl w:val="0"/>
        <w:spacing w:after="0" w:line="240" w:lineRule="auto"/>
        <w:ind w:left="708" w:right="20"/>
        <w:jc w:val="both"/>
        <w:rPr>
          <w:rFonts w:ascii="Times New Roman" w:hAnsi="Times New Roman" w:cs="Times New Roman"/>
          <w:sz w:val="26"/>
          <w:szCs w:val="26"/>
        </w:rPr>
      </w:pPr>
      <w:r w:rsidRPr="005D12CB">
        <w:rPr>
          <w:rFonts w:ascii="Times New Roman" w:hAnsi="Times New Roman" w:cs="Times New Roman"/>
          <w:b/>
          <w:i/>
          <w:sz w:val="26"/>
          <w:szCs w:val="26"/>
        </w:rPr>
        <w:lastRenderedPageBreak/>
        <w:t>3.7. Інші застосовані облікові політики, що є доречними для розуміння фінансової звітності</w:t>
      </w:r>
    </w:p>
    <w:p w:rsidR="006C6DBE" w:rsidRPr="005D12CB" w:rsidRDefault="006C6DBE" w:rsidP="006C6DBE">
      <w:pPr>
        <w:widowControl w:val="0"/>
        <w:spacing w:after="0" w:line="240" w:lineRule="auto"/>
        <w:ind w:left="708" w:right="20"/>
        <w:jc w:val="both"/>
        <w:rPr>
          <w:rFonts w:ascii="Times New Roman" w:hAnsi="Times New Roman" w:cs="Times New Roman"/>
          <w:sz w:val="26"/>
          <w:szCs w:val="26"/>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3.7.1.  Доходи та витрати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визнає дохід від надання послуг, коли (або у міру того, як) воно задовольняє зобов’язання щодо виконання, передаючи обіцяну послугу (тобто актив) клієнтові. Актив передається, коли (або у міру того, як) клієнт отримує контроль над таким активом.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Відповідно до МСФЗ 15 «Дохід від договорів з клієнтами» 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а)  Товариство передає договірні права на одержання грошових потоків від такого фінансового активу;</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б) Товариство передало покупцеві суттєві ризики і винагороди, пов’язані з власністю на фінансовий інструмент, інвестиційну нерухомість або інші активи;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 за Товариством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г) суму доходу можна достовірно оцінити;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 ймовірно, що до Товариства надійдуть економічні вигоди, пов’язані з операцією;</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е) витрати, які були або будуть понесені у зв’язку з операцією, можна достовірно оцінити.</w:t>
      </w:r>
    </w:p>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i/>
          <w:sz w:val="24"/>
          <w:szCs w:val="24"/>
        </w:rPr>
        <w:t>Дивіденди визнаються доходом, лише у разі, якщо:</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право Товариства на одержання виплат за дивідендами встановлено;</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є ймовірність, що економічні вигоди, пов’язані з дивідендами, надійдуть до Товариства;</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суму дивідендів можна достовірно оцінити.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або зменшення зобов’язань.</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Витрати визнаються у звіті про прибутки та збитки також у тих випадках, коли виникають зобов’язання без визнання активу. Витрати, понесені у зв'язку з отриманням доходу, визнаються у тому ж періоді, що й відповідні доходи.</w:t>
      </w:r>
    </w:p>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3.7.2. Витрати за позиками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rsidR="006C6DBE" w:rsidRPr="005D12CB" w:rsidRDefault="006C6DBE" w:rsidP="006C6DBE">
      <w:pPr>
        <w:spacing w:after="0" w:line="240" w:lineRule="auto"/>
        <w:ind w:firstLine="708"/>
        <w:jc w:val="both"/>
        <w:rPr>
          <w:rFonts w:ascii="Times New Roman" w:hAnsi="Times New Roman" w:cs="Times New Roman"/>
          <w:sz w:val="6"/>
          <w:szCs w:val="6"/>
        </w:rPr>
      </w:pPr>
    </w:p>
    <w:p w:rsidR="006C6DBE" w:rsidRPr="005D12CB" w:rsidRDefault="006C6DBE" w:rsidP="006C6DBE">
      <w:pPr>
        <w:widowControl w:val="0"/>
        <w:spacing w:after="0" w:line="240" w:lineRule="auto"/>
        <w:ind w:left="20" w:firstLine="688"/>
        <w:rPr>
          <w:rFonts w:ascii="Courier New" w:eastAsia="Times New Roman" w:hAnsi="Courier New" w:cs="Courier New"/>
          <w:sz w:val="26"/>
          <w:szCs w:val="26"/>
        </w:rPr>
      </w:pPr>
      <w:r w:rsidRPr="005D12CB">
        <w:rPr>
          <w:rFonts w:ascii="Times New Roman" w:hAnsi="Times New Roman" w:cs="Times New Roman"/>
          <w:b/>
          <w:sz w:val="26"/>
          <w:szCs w:val="26"/>
        </w:rPr>
        <w:t>3.8. Операції з пов’язаними сторонами</w:t>
      </w:r>
    </w:p>
    <w:p w:rsidR="006C6DBE" w:rsidRPr="005D12CB" w:rsidRDefault="006C6DBE" w:rsidP="006C6DBE">
      <w:pPr>
        <w:widowControl w:val="0"/>
        <w:spacing w:after="0" w:line="240" w:lineRule="auto"/>
        <w:ind w:left="20" w:right="20" w:firstLine="688"/>
        <w:jc w:val="both"/>
        <w:rPr>
          <w:rFonts w:ascii="Times New Roman" w:hAnsi="Times New Roman" w:cs="Times New Roman"/>
          <w:sz w:val="24"/>
          <w:szCs w:val="24"/>
        </w:rPr>
      </w:pPr>
      <w:r w:rsidRPr="005D12CB">
        <w:rPr>
          <w:rFonts w:ascii="Times New Roman" w:hAnsi="Times New Roman" w:cs="Times New Roman"/>
          <w:sz w:val="24"/>
          <w:szCs w:val="24"/>
        </w:rPr>
        <w:t xml:space="preserve">Операції між пов'язаними особами це передача ресурсів або зобов’язань, незалежно від отримання плати. Визнання Товариством пов’язаних осіб проводиться на кожну звітну дату. Операції з пов’язаними сторонами проводяться виключно по принципу «справедливої вартості» на основі договірних відносин. Товариство розкриває інформацію про наявність відносин з пов'язаними особами та операцій між ними, наявність заборгованості між Товариством та </w:t>
      </w:r>
      <w:r w:rsidRPr="005D12CB">
        <w:rPr>
          <w:rFonts w:ascii="Times New Roman" w:hAnsi="Times New Roman" w:cs="Times New Roman"/>
          <w:sz w:val="24"/>
          <w:szCs w:val="24"/>
        </w:rPr>
        <w:lastRenderedPageBreak/>
        <w:t>пов'язаними особами.</w:t>
      </w:r>
    </w:p>
    <w:p w:rsidR="006C6DBE" w:rsidRPr="005D12CB" w:rsidRDefault="006C6DBE" w:rsidP="006C6DBE">
      <w:pPr>
        <w:widowControl w:val="0"/>
        <w:spacing w:after="0" w:line="240" w:lineRule="auto"/>
        <w:ind w:left="20" w:right="20" w:firstLine="688"/>
        <w:jc w:val="both"/>
        <w:rPr>
          <w:rFonts w:ascii="Times New Roman" w:hAnsi="Times New Roman" w:cs="Times New Roman"/>
          <w:sz w:val="24"/>
          <w:szCs w:val="24"/>
        </w:rPr>
      </w:pPr>
    </w:p>
    <w:p w:rsidR="006C6DBE" w:rsidRPr="005D12CB" w:rsidRDefault="006C6DBE" w:rsidP="006C6DBE">
      <w:pPr>
        <w:widowControl w:val="0"/>
        <w:spacing w:after="0" w:line="240" w:lineRule="auto"/>
        <w:ind w:left="20" w:right="20" w:firstLine="688"/>
        <w:jc w:val="both"/>
        <w:rPr>
          <w:rFonts w:ascii="Times New Roman" w:hAnsi="Times New Roman" w:cs="Times New Roman"/>
          <w:sz w:val="6"/>
          <w:szCs w:val="6"/>
        </w:rPr>
      </w:pPr>
    </w:p>
    <w:p w:rsidR="006C6DBE" w:rsidRPr="005D12CB" w:rsidRDefault="006C6DBE" w:rsidP="006C6DBE">
      <w:pPr>
        <w:widowControl w:val="0"/>
        <w:spacing w:after="0" w:line="240" w:lineRule="auto"/>
        <w:ind w:firstLine="708"/>
        <w:rPr>
          <w:rFonts w:ascii="Courier New" w:eastAsia="Times New Roman" w:hAnsi="Courier New" w:cs="Courier New"/>
          <w:sz w:val="26"/>
          <w:szCs w:val="26"/>
        </w:rPr>
      </w:pPr>
      <w:r w:rsidRPr="005D12CB">
        <w:rPr>
          <w:rFonts w:ascii="Times New Roman" w:hAnsi="Times New Roman" w:cs="Times New Roman"/>
          <w:b/>
          <w:sz w:val="26"/>
          <w:szCs w:val="26"/>
        </w:rPr>
        <w:t>3.9. Події після дати балансу</w:t>
      </w:r>
    </w:p>
    <w:p w:rsidR="006C6DBE" w:rsidRPr="005D12CB" w:rsidRDefault="006C6DBE" w:rsidP="006C6DBE">
      <w:pPr>
        <w:widowControl w:val="0"/>
        <w:spacing w:after="0" w:line="240" w:lineRule="auto"/>
        <w:ind w:left="20" w:right="20" w:firstLine="688"/>
        <w:jc w:val="both"/>
        <w:rPr>
          <w:rFonts w:ascii="Times New Roman" w:hAnsi="Times New Roman" w:cs="Times New Roman"/>
          <w:sz w:val="24"/>
          <w:szCs w:val="24"/>
        </w:rPr>
      </w:pPr>
      <w:r w:rsidRPr="005D12CB">
        <w:rPr>
          <w:rFonts w:ascii="Times New Roman" w:hAnsi="Times New Roman" w:cs="Times New Roman"/>
          <w:sz w:val="24"/>
          <w:szCs w:val="24"/>
        </w:rPr>
        <w:t xml:space="preserve">Події, що відбулися після дати балансу і до дати затвердження фінансових звітів до випуску та які надають додаткову інформацію щодо фінансової звітності Товариства, відображаються у фінансовій звітності. Події, що відбулися після дати балансу і які не впливають на фінансову звітність Товариства на цю дату, розкриваються у примітках до фінансової звітності, якщо такі події суттєві. </w:t>
      </w:r>
    </w:p>
    <w:p w:rsidR="006C6DBE" w:rsidRPr="005D12CB" w:rsidRDefault="006C6DBE" w:rsidP="006C6DBE">
      <w:pPr>
        <w:widowControl w:val="0"/>
        <w:spacing w:after="0" w:line="240" w:lineRule="auto"/>
        <w:ind w:left="20" w:right="20" w:firstLine="688"/>
        <w:jc w:val="both"/>
        <w:rPr>
          <w:rFonts w:ascii="Times New Roman" w:hAnsi="Times New Roman" w:cs="Times New Roman"/>
          <w:sz w:val="6"/>
          <w:szCs w:val="6"/>
        </w:rPr>
      </w:pPr>
    </w:p>
    <w:p w:rsidR="006C6DBE" w:rsidRPr="005D12CB" w:rsidRDefault="006C6DBE" w:rsidP="006C6DBE">
      <w:pPr>
        <w:widowControl w:val="0"/>
        <w:spacing w:after="0" w:line="240" w:lineRule="auto"/>
        <w:ind w:right="20" w:firstLine="708"/>
        <w:jc w:val="both"/>
        <w:rPr>
          <w:rFonts w:ascii="Times New Roman" w:hAnsi="Times New Roman" w:cs="Times New Roman"/>
          <w:sz w:val="26"/>
          <w:szCs w:val="26"/>
        </w:rPr>
      </w:pPr>
      <w:r w:rsidRPr="005D12CB">
        <w:rPr>
          <w:rFonts w:ascii="Times New Roman" w:hAnsi="Times New Roman" w:cs="Times New Roman"/>
          <w:b/>
          <w:sz w:val="26"/>
          <w:szCs w:val="26"/>
        </w:rPr>
        <w:t>3.10. Застосування нових та змінених стандартів  та інтерпретацій</w:t>
      </w:r>
    </w:p>
    <w:p w:rsidR="006C6DBE" w:rsidRPr="005D12CB" w:rsidRDefault="006C6DBE" w:rsidP="006C6DBE">
      <w:pPr>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sz w:val="24"/>
          <w:szCs w:val="24"/>
        </w:rPr>
        <w:t>Товариство застосувало нові стандарти, тлумачення, зміни до стандартів, включаючи спричинені ними зміни до інших стандартів, з датою початкового застосування 1 січня 2021 року при складанні цієї фінансової звітності:</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Зміни до МСФЗ 9 «Фінансові інструменти», МСБО 39 «Фінансові інструменти:</w:t>
      </w:r>
      <w:r w:rsidRPr="005D12CB">
        <w:rPr>
          <w:rFonts w:ascii="Times New Roman" w:hAnsi="Times New Roman" w:cs="Times New Roman"/>
          <w:sz w:val="24"/>
          <w:szCs w:val="24"/>
        </w:rPr>
        <w:t xml:space="preserve"> Визнання та оцінка». Зміни стосуються реформи базової процентної ставки (IBOR). Стандарти значно доповнені положеннями, що стосуються реформи базової відсоткової ставки, особливо у частині хеджування. МСФЗ 9 доповнено пунктами 5.4.5 – 5.4.9, що включають положення про зміну основи для визначення передбачених договором грошових потоків, спричинене реформою базової процентної ставки, та містять спрощення практичного характеру. Заміна у існуючих фінансових інструментах ставок IBOR на RFR розглядається як зміна плаваючої процентної ставки та застосовується п. В 5.4.5. про переоцінку грошових потоків.</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Крім того, передбачено звільнення від припинення відносин хеджування, натомість дозволено вносити відповідні зміни, згідно з реформою IBOR, у визначення хеджування та документацію про хеджування відповідно до IFRS 9 та IAS 39 без припинення відносин хеджування;</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Зміни до МСФЗ 7 «Фінансові інструменти: Розкриття інформації».</w:t>
      </w:r>
      <w:r w:rsidRPr="005D12CB">
        <w:rPr>
          <w:rFonts w:ascii="Times New Roman" w:hAnsi="Times New Roman" w:cs="Times New Roman"/>
          <w:sz w:val="24"/>
          <w:szCs w:val="24"/>
        </w:rPr>
        <w:t xml:space="preserve"> Стандарт доповнено додатковими вимогами щодо розкриття інформації про те:</w:t>
      </w:r>
    </w:p>
    <w:p w:rsidR="006C6DBE" w:rsidRPr="005D12CB" w:rsidRDefault="006C6DBE" w:rsidP="006C6DBE">
      <w:pPr>
        <w:numPr>
          <w:ilvl w:val="0"/>
          <w:numId w:val="8"/>
        </w:num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як організація управляє переходом на RFR, його ходом та ризиками, на які вона наражається у зв’язку з реформою IBOR, пов’язаними з фінансовими інструментами;</w:t>
      </w:r>
    </w:p>
    <w:p w:rsidR="006C6DBE" w:rsidRPr="005D12CB" w:rsidRDefault="006C6DBE" w:rsidP="006C6DBE">
      <w:pPr>
        <w:numPr>
          <w:ilvl w:val="0"/>
          <w:numId w:val="8"/>
        </w:num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кількісна інформація про фінансові інструменти, які ще не перейшли на RFR, з розбивкою за кожною значущою ставкою IBOR.</w:t>
      </w:r>
    </w:p>
    <w:p w:rsidR="006C6DBE" w:rsidRPr="005D12CB" w:rsidRDefault="006C6DBE" w:rsidP="006C6DBE">
      <w:pPr>
        <w:spacing w:after="0" w:line="240" w:lineRule="auto"/>
        <w:ind w:left="720"/>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Зміни до МСФЗ 4 «Страхові контракти»</w:t>
      </w:r>
      <w:r w:rsidRPr="005D12CB">
        <w:rPr>
          <w:rFonts w:ascii="Times New Roman" w:hAnsi="Times New Roman" w:cs="Times New Roman"/>
          <w:sz w:val="24"/>
          <w:szCs w:val="24"/>
        </w:rPr>
        <w:t>. Стандарт доповнений пунктами 20R – 20S, що включають положення про зміну бази для визначення передбачених договором грошових потоків, спричинену реформою базової процентної ставки для страховиків, які застосовують тимчасове звільнення від застосування МСФЗ 9.</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Зміни до МСФЗ 16 «Оренда»</w:t>
      </w:r>
      <w:r w:rsidRPr="005D12CB">
        <w:rPr>
          <w:rFonts w:ascii="Times New Roman" w:hAnsi="Times New Roman" w:cs="Times New Roman"/>
          <w:sz w:val="24"/>
          <w:szCs w:val="24"/>
        </w:rPr>
        <w:t xml:space="preserve"> – зміни стосуються поступок з оренди, пов’язані з COVID-19. Враховуючи загальний масштаб пандемії та заходів, що вживаються багатьма державами для забезпечення соціального дистанціювання, зміни передбачили можливість застосування орендарями практичного прийому і не оцінювати чи є орендні поступки, пов’язані з COVID-19, модифікацією. Цей практичний прийом може застосовуватись лише до орендних поступок, що виникають як прямий наслідок спалаху коронавірусу, і лише за умови виконання всіх наступних умов:</w:t>
      </w:r>
    </w:p>
    <w:p w:rsidR="006C6DBE" w:rsidRPr="005D12CB" w:rsidRDefault="006C6DBE" w:rsidP="006C6DBE">
      <w:pPr>
        <w:numPr>
          <w:ilvl w:val="0"/>
          <w:numId w:val="8"/>
        </w:num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зміни в орендних платежах призводять до переглянутої суми компенсації за оренду, яка є такою самою або меншою, ніж сума компенсації, до змін;</w:t>
      </w:r>
    </w:p>
    <w:p w:rsidR="006C6DBE" w:rsidRPr="005D12CB" w:rsidRDefault="006C6DBE" w:rsidP="006C6DBE">
      <w:pPr>
        <w:numPr>
          <w:ilvl w:val="0"/>
          <w:numId w:val="8"/>
        </w:num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будь-яке зменшення орендних платежів впливає тільки на платежі, первісно призначені до сплати до 30 червня 2021 року або раніше (у березні 2021 року було опубліковано чергові зміни до МСФЗ 16, згідно з якими було подовжено цей термін на 1 рік – до 30.06.2022);</w:t>
      </w:r>
    </w:p>
    <w:p w:rsidR="006C6DBE" w:rsidRPr="005D12CB" w:rsidRDefault="006C6DBE" w:rsidP="006C6DBE">
      <w:pPr>
        <w:numPr>
          <w:ilvl w:val="0"/>
          <w:numId w:val="8"/>
        </w:num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немає суттєвих змін до інших умов оренди.</w:t>
      </w:r>
    </w:p>
    <w:p w:rsidR="006C6DBE" w:rsidRPr="005D12CB" w:rsidRDefault="006C6DBE" w:rsidP="006C6DBE">
      <w:pPr>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sz w:val="24"/>
          <w:szCs w:val="24"/>
        </w:rPr>
        <w:t xml:space="preserve">Орендар має використовувати практичний прийом ретроспективно, визнаючи кумулятивний ефект (вплив) від первісного застосування змін як коригування вхідного сальдо нерозподіленого прибутку (або іншого компоненту капіталу) на початок річного звітного періоду, </w:t>
      </w:r>
      <w:r w:rsidRPr="005D12CB">
        <w:rPr>
          <w:rFonts w:ascii="Times New Roman" w:hAnsi="Times New Roman" w:cs="Times New Roman"/>
          <w:sz w:val="24"/>
          <w:szCs w:val="24"/>
        </w:rPr>
        <w:lastRenderedPageBreak/>
        <w:t>в якому орендар вперше застосовує ці зміни. Орендар не повинен розкривати у звітному періоді, в якому вперше застосовує зміни, інформацію, що вимагається п. 28 (д) МСБО 8 “Облікові політики, зміни в облікових оцінках та помилки”.</w:t>
      </w:r>
    </w:p>
    <w:p w:rsidR="006C6DBE" w:rsidRPr="005D12CB" w:rsidRDefault="006C6DBE" w:rsidP="006C6DBE">
      <w:pPr>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sz w:val="24"/>
          <w:szCs w:val="24"/>
        </w:rPr>
        <w:t>Змін до вимог щодо відображення в бухгалтерському обліку операцій з оренди орендодавцями не передбачено.</w:t>
      </w:r>
    </w:p>
    <w:p w:rsidR="006C6DBE" w:rsidRPr="005D12CB" w:rsidRDefault="006C6DBE" w:rsidP="006C6DBE">
      <w:pPr>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sz w:val="24"/>
          <w:szCs w:val="24"/>
        </w:rPr>
        <w:t xml:space="preserve">За оцінкою керівництва Товариства, застосування змін до МСФЗ, які набули чинності з 01 січня 2021 року, не впливає на фінансовий стан Товариства. </w:t>
      </w:r>
    </w:p>
    <w:p w:rsidR="006C6DBE" w:rsidRPr="005D12CB" w:rsidRDefault="006C6DBE" w:rsidP="006C6DBE">
      <w:pPr>
        <w:numPr>
          <w:ilvl w:val="0"/>
          <w:numId w:val="5"/>
        </w:numPr>
        <w:spacing w:after="0" w:line="240" w:lineRule="auto"/>
        <w:jc w:val="both"/>
        <w:rPr>
          <w:rFonts w:ascii="Times New Roman" w:hAnsi="Times New Roman" w:cs="Times New Roman"/>
          <w:b/>
          <w:i/>
          <w:sz w:val="24"/>
          <w:szCs w:val="24"/>
        </w:rPr>
      </w:pPr>
      <w:r w:rsidRPr="005D12CB">
        <w:rPr>
          <w:rFonts w:ascii="Times New Roman" w:hAnsi="Times New Roman" w:cs="Times New Roman"/>
          <w:b/>
          <w:i/>
          <w:sz w:val="24"/>
          <w:szCs w:val="24"/>
        </w:rPr>
        <w:t>МСФЗ та інтерпретації КТМФЗ, які ще не набули чинності станом на 01 січня 2021 року</w:t>
      </w:r>
    </w:p>
    <w:p w:rsidR="006C6DBE" w:rsidRPr="005D12CB" w:rsidRDefault="006C6DBE" w:rsidP="006C6DBE">
      <w:pPr>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не застосовувало нові і переглянуті МСФЗ, які були випущені, але ще не набули чинності на дату складання фінансової звітності. </w:t>
      </w:r>
    </w:p>
    <w:p w:rsidR="006C6DBE" w:rsidRPr="005D12CB" w:rsidRDefault="006C6DBE" w:rsidP="006C6DBE">
      <w:pPr>
        <w:spacing w:after="0" w:line="240" w:lineRule="auto"/>
        <w:ind w:firstLine="720"/>
        <w:jc w:val="both"/>
        <w:rPr>
          <w:rFonts w:ascii="Times New Roman" w:hAnsi="Times New Roman" w:cs="Times New Roman"/>
          <w:b/>
          <w:i/>
          <w:sz w:val="24"/>
          <w:szCs w:val="24"/>
          <w:u w:val="single"/>
        </w:rPr>
      </w:pPr>
      <w:r w:rsidRPr="005D12CB">
        <w:rPr>
          <w:rFonts w:ascii="Times New Roman" w:hAnsi="Times New Roman" w:cs="Times New Roman"/>
          <w:b/>
          <w:i/>
          <w:sz w:val="24"/>
          <w:szCs w:val="24"/>
        </w:rPr>
        <w:t xml:space="preserve">Зміни до стандартів, ефективна дата застосування яких наступає з </w:t>
      </w:r>
      <w:r w:rsidRPr="005D12CB">
        <w:rPr>
          <w:rFonts w:ascii="Times New Roman" w:hAnsi="Times New Roman" w:cs="Times New Roman"/>
          <w:b/>
          <w:i/>
          <w:sz w:val="24"/>
          <w:szCs w:val="24"/>
          <w:u w:val="single"/>
        </w:rPr>
        <w:t xml:space="preserve">01 січня 2022 року: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МСБО 16 «Основні засоби»</w:t>
      </w:r>
      <w:r w:rsidRPr="005D12CB">
        <w:rPr>
          <w:rFonts w:ascii="Times New Roman" w:hAnsi="Times New Roman" w:cs="Times New Roman"/>
          <w:sz w:val="24"/>
          <w:szCs w:val="24"/>
        </w:rPr>
        <w:t xml:space="preserve"> - зміни стосуються заборони вираховувати з вартості основних засобів суми, отримані від реалізації вироблених предметів, коли компанія готує актив до його цільового використання. Натомість компанія визнаватиме таку виручку від продажів та відповідні витрати у складі прибутку або збитку;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МСБО 37 «Забезпечення</w:t>
      </w:r>
      <w:r w:rsidRPr="005D12CB">
        <w:rPr>
          <w:rFonts w:ascii="Times New Roman" w:hAnsi="Times New Roman" w:cs="Times New Roman"/>
          <w:sz w:val="24"/>
          <w:szCs w:val="24"/>
        </w:rPr>
        <w:t>, непередбачені зобов’язання та непередбачені активи» - уточнення, щодо  «витрат на виконання договору»;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МСФЗ 3 «Об’єднання бізнесу»</w:t>
      </w:r>
      <w:r w:rsidRPr="005D12CB">
        <w:rPr>
          <w:rFonts w:ascii="Times New Roman" w:hAnsi="Times New Roman" w:cs="Times New Roman"/>
          <w:sz w:val="24"/>
          <w:szCs w:val="24"/>
        </w:rPr>
        <w:t xml:space="preserve"> - додано виняток щодо зобов'язань і умовних зобов'язань, а також актуалізація посилань в МСФЗ (IFRS) 3 на Концептуальні основи підготовки фінансової звітності, не змінюючи вимог до обліку для об'єднання бізнесів;</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Щорічні поправки в МСФЗ (2018-2020): МСФЗ (IFRS) 1</w:t>
      </w:r>
      <w:r w:rsidRPr="005D12CB">
        <w:rPr>
          <w:rFonts w:ascii="Times New Roman" w:hAnsi="Times New Roman" w:cs="Times New Roman"/>
          <w:sz w:val="24"/>
          <w:szCs w:val="24"/>
        </w:rPr>
        <w:t xml:space="preserve"> - Поправка дозволяє дочірньому підприємству, що застосовує IFRS 1: D16 (a)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материнською компанією на дату її переходу на МСФЗ;</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Щорічні поправки в МСФЗ (2018-2020): МСФЗ (IFRS) 9</w:t>
      </w:r>
      <w:r w:rsidRPr="005D12CB">
        <w:rPr>
          <w:rFonts w:ascii="Times New Roman" w:hAnsi="Times New Roman" w:cs="Times New Roman"/>
          <w:sz w:val="24"/>
          <w:szCs w:val="24"/>
        </w:rPr>
        <w:t xml:space="preserve"> - Поправка уточнює характер комісійної винагороди, що включається в «10-відсотковий» тест при припиненні визнання фінансових зобов'язань;</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Щорічні поправки в МСФЗ (2018-2020): МСФЗ (IFRS) 16</w:t>
      </w:r>
      <w:r w:rsidRPr="005D12CB">
        <w:rPr>
          <w:rFonts w:ascii="Times New Roman" w:hAnsi="Times New Roman" w:cs="Times New Roman"/>
          <w:sz w:val="24"/>
          <w:szCs w:val="24"/>
        </w:rPr>
        <w:t xml:space="preserve"> - Поправка уточнює ілюстративний приклад № 13 до МСФЗ (IFRS)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Щорічні поправки в МСФЗ (2018-2020): МСБО (IAS) 41</w:t>
      </w:r>
      <w:r w:rsidRPr="005D12CB">
        <w:rPr>
          <w:rFonts w:ascii="Times New Roman" w:hAnsi="Times New Roman" w:cs="Times New Roman"/>
          <w:sz w:val="24"/>
          <w:szCs w:val="24"/>
        </w:rPr>
        <w:t xml:space="preserve"> - Поправка виключає вимогу IAS 41:22, яка вказує, що потоки грошових коштів, пов'язані з оподаткуванням, не включаються до розрахунків справедливої вартості біологічних активів. Поправка призводить до відповідності IAS 41 і IFRS 13.</w:t>
      </w:r>
    </w:p>
    <w:p w:rsidR="006C6DBE" w:rsidRPr="005D12CB" w:rsidRDefault="006C6DBE" w:rsidP="006C6DBE">
      <w:pPr>
        <w:spacing w:after="0" w:line="240" w:lineRule="auto"/>
        <w:ind w:firstLine="720"/>
        <w:jc w:val="both"/>
        <w:rPr>
          <w:rFonts w:ascii="Times New Roman" w:hAnsi="Times New Roman" w:cs="Times New Roman"/>
          <w:b/>
          <w:i/>
          <w:sz w:val="24"/>
          <w:szCs w:val="24"/>
          <w:u w:val="single"/>
        </w:rPr>
      </w:pPr>
      <w:r w:rsidRPr="005D12CB">
        <w:rPr>
          <w:rFonts w:ascii="Times New Roman" w:hAnsi="Times New Roman" w:cs="Times New Roman"/>
          <w:b/>
          <w:i/>
          <w:sz w:val="24"/>
          <w:szCs w:val="24"/>
        </w:rPr>
        <w:t xml:space="preserve">Зміни до стандартів, ефективна дата застосування яких наступає </w:t>
      </w:r>
      <w:r w:rsidRPr="005D12CB">
        <w:rPr>
          <w:rFonts w:ascii="Times New Roman" w:hAnsi="Times New Roman" w:cs="Times New Roman"/>
          <w:b/>
          <w:i/>
          <w:sz w:val="24"/>
          <w:szCs w:val="24"/>
          <w:u w:val="single"/>
        </w:rPr>
        <w:t xml:space="preserve">з 01 січня 2023 року: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МСБО 1 «Подання фінансової звітності»</w:t>
      </w:r>
      <w:r w:rsidRPr="005D12CB">
        <w:rPr>
          <w:rFonts w:ascii="Times New Roman" w:hAnsi="Times New Roman" w:cs="Times New Roman"/>
          <w:sz w:val="24"/>
          <w:szCs w:val="24"/>
        </w:rPr>
        <w:t xml:space="preserve"> - 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МСФЗ 17 «Страхові контракти»</w:t>
      </w:r>
      <w:r w:rsidRPr="005D12CB">
        <w:rPr>
          <w:rFonts w:ascii="Times New Roman" w:hAnsi="Times New Roman" w:cs="Times New Roman"/>
          <w:sz w:val="24"/>
          <w:szCs w:val="24"/>
        </w:rPr>
        <w:t xml:space="preserve"> - основні вимоги: виключення деяких видів договорів зі сфери застосування МСФЗ 17; спрощене подання активів і зобов'язань, пов'язаних з договорами страхування в звіті про фінансовий стан; вплив облікових оцінок, зроблених в попередніх проміжних фінансових звітностях; спрощений облік зобов'язань по врегулюванню збитків за договорами, які виникли до дати переходу на МСФЗ 17.</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r>
      <w:r w:rsidRPr="005D12CB">
        <w:rPr>
          <w:rFonts w:ascii="Times New Roman" w:hAnsi="Times New Roman" w:cs="Times New Roman"/>
          <w:sz w:val="24"/>
          <w:szCs w:val="24"/>
          <w:u w:val="single"/>
        </w:rPr>
        <w:t>МСБО 8 «Облікові політики, зміни у бухгалтерських оцінках та помилки».</w:t>
      </w:r>
      <w:r w:rsidRPr="005D12CB">
        <w:rPr>
          <w:rFonts w:ascii="Times New Roman" w:hAnsi="Times New Roman" w:cs="Times New Roman"/>
          <w:sz w:val="24"/>
          <w:szCs w:val="24"/>
        </w:rPr>
        <w:t xml:space="preserve"> Зміни уточнюють різницю між змінами облікових політик та облікових оцінок, а також визначають облікові оцінки як монетарні суми у фінансових звітах, щодо яких є невпевненість в оцінці.</w:t>
      </w:r>
    </w:p>
    <w:p w:rsidR="006C6DBE" w:rsidRPr="005D12CB" w:rsidRDefault="006C6DBE" w:rsidP="006C6DBE">
      <w:pPr>
        <w:tabs>
          <w:tab w:val="left" w:pos="284"/>
        </w:tabs>
        <w:spacing w:after="0" w:line="240" w:lineRule="auto"/>
        <w:ind w:hanging="2"/>
        <w:jc w:val="both"/>
        <w:rPr>
          <w:rFonts w:ascii="Times New Roman" w:hAnsi="Times New Roman" w:cs="Times New Roman"/>
          <w:sz w:val="24"/>
          <w:szCs w:val="24"/>
        </w:rPr>
      </w:pPr>
      <w:r w:rsidRPr="005D12CB">
        <w:rPr>
          <w:rFonts w:ascii="Times New Roman" w:hAnsi="Times New Roman" w:cs="Times New Roman"/>
          <w:sz w:val="24"/>
          <w:szCs w:val="24"/>
        </w:rPr>
        <w:lastRenderedPageBreak/>
        <w:t>Керівництво Товариства достроково не застосовує зміни до стандартів та вважає, що зазначені зміни не будуть мати суттєвого впливу на фінансову звітність Товариства в майбутньому.</w:t>
      </w:r>
    </w:p>
    <w:p w:rsidR="006C6DBE" w:rsidRPr="005D12CB" w:rsidRDefault="006C6DBE" w:rsidP="006C6DBE">
      <w:pPr>
        <w:spacing w:after="0" w:line="240" w:lineRule="auto"/>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6"/>
          <w:szCs w:val="26"/>
        </w:rPr>
      </w:pPr>
      <w:r w:rsidRPr="005D12CB">
        <w:rPr>
          <w:rFonts w:ascii="Times New Roman" w:hAnsi="Times New Roman" w:cs="Times New Roman"/>
          <w:b/>
          <w:sz w:val="26"/>
          <w:szCs w:val="26"/>
        </w:rPr>
        <w:t>4. Основні припущення, оцінки та судження</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При підготовці фінансової звітності Товариство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Товариства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
          <w:szCs w:val="2"/>
          <w:highlight w:val="yellow"/>
        </w:rPr>
      </w:pPr>
    </w:p>
    <w:p w:rsidR="006C6DBE" w:rsidRPr="005D12CB" w:rsidRDefault="006C6DBE" w:rsidP="006C6DBE">
      <w:pPr>
        <w:spacing w:after="0" w:line="240" w:lineRule="auto"/>
        <w:ind w:firstLine="708"/>
        <w:jc w:val="both"/>
        <w:rPr>
          <w:rFonts w:ascii="Times New Roman" w:hAnsi="Times New Roman" w:cs="Times New Roman"/>
          <w:sz w:val="10"/>
          <w:szCs w:val="10"/>
          <w:highlight w:val="yellow"/>
        </w:rPr>
      </w:pPr>
      <w:r w:rsidRPr="005D12CB">
        <w:rPr>
          <w:rFonts w:ascii="Times New Roman" w:hAnsi="Times New Roman" w:cs="Times New Roman"/>
          <w:b/>
          <w:i/>
          <w:sz w:val="24"/>
          <w:szCs w:val="24"/>
        </w:rPr>
        <w:t>4.1. Судження щодо операцій, подій або умов за відсутності конкретних МСФЗ</w:t>
      </w:r>
    </w:p>
    <w:p w:rsidR="006C6DBE" w:rsidRPr="005D12CB" w:rsidRDefault="006C6DBE" w:rsidP="006C6DBE">
      <w:pPr>
        <w:spacing w:after="0" w:line="240" w:lineRule="auto"/>
        <w:ind w:firstLine="708"/>
        <w:jc w:val="both"/>
        <w:rPr>
          <w:rFonts w:ascii="Times New Roman" w:hAnsi="Times New Roman" w:cs="Times New Roman"/>
          <w:sz w:val="6"/>
          <w:szCs w:val="6"/>
          <w:highlight w:val="yellow"/>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6C6DBE" w:rsidRPr="005D12CB" w:rsidRDefault="006C6DBE" w:rsidP="006C6DBE">
      <w:pPr>
        <w:numPr>
          <w:ilvl w:val="0"/>
          <w:numId w:val="1"/>
        </w:numPr>
        <w:shd w:val="clear" w:color="auto" w:fill="FFFFFF"/>
        <w:tabs>
          <w:tab w:val="left" w:pos="993"/>
        </w:tabs>
        <w:spacing w:after="0" w:line="240" w:lineRule="auto"/>
        <w:ind w:left="993" w:hanging="567"/>
        <w:jc w:val="both"/>
        <w:rPr>
          <w:rFonts w:ascii="Times New Roman" w:hAnsi="Times New Roman" w:cs="Times New Roman"/>
          <w:sz w:val="24"/>
          <w:szCs w:val="24"/>
        </w:rPr>
      </w:pPr>
      <w:r w:rsidRPr="005D12CB">
        <w:rPr>
          <w:rFonts w:ascii="Times New Roman" w:hAnsi="Times New Roman" w:cs="Times New Roman"/>
          <w:sz w:val="24"/>
          <w:szCs w:val="24"/>
        </w:rPr>
        <w:t>подає достовірно фінансовий стан, фінансові результати діяльності та грошові потоки Товариства;</w:t>
      </w:r>
    </w:p>
    <w:p w:rsidR="006C6DBE" w:rsidRPr="005D12CB" w:rsidRDefault="006C6DBE" w:rsidP="006C6DBE">
      <w:pPr>
        <w:numPr>
          <w:ilvl w:val="0"/>
          <w:numId w:val="1"/>
        </w:numPr>
        <w:shd w:val="clear" w:color="auto" w:fill="FFFFFF"/>
        <w:tabs>
          <w:tab w:val="left" w:pos="993"/>
        </w:tabs>
        <w:spacing w:after="0" w:line="240" w:lineRule="auto"/>
        <w:ind w:left="993" w:hanging="567"/>
        <w:jc w:val="both"/>
        <w:rPr>
          <w:rFonts w:ascii="Times New Roman" w:hAnsi="Times New Roman" w:cs="Times New Roman"/>
          <w:sz w:val="24"/>
          <w:szCs w:val="24"/>
        </w:rPr>
      </w:pPr>
      <w:r w:rsidRPr="005D12CB">
        <w:rPr>
          <w:rFonts w:ascii="Times New Roman" w:hAnsi="Times New Roman" w:cs="Times New Roman"/>
          <w:sz w:val="24"/>
          <w:szCs w:val="24"/>
        </w:rPr>
        <w:t>відображає економічну сутність операцій, інших подій або умов, а не лише юридичну форму;</w:t>
      </w:r>
    </w:p>
    <w:p w:rsidR="006C6DBE" w:rsidRPr="005D12CB" w:rsidRDefault="006C6DBE" w:rsidP="006C6DBE">
      <w:pPr>
        <w:numPr>
          <w:ilvl w:val="0"/>
          <w:numId w:val="1"/>
        </w:numPr>
        <w:shd w:val="clear" w:color="auto" w:fill="FFFFFF"/>
        <w:tabs>
          <w:tab w:val="left" w:pos="993"/>
        </w:tabs>
        <w:spacing w:after="0" w:line="240" w:lineRule="auto"/>
        <w:ind w:left="993" w:hanging="567"/>
        <w:jc w:val="both"/>
        <w:rPr>
          <w:rFonts w:ascii="Times New Roman" w:hAnsi="Times New Roman" w:cs="Times New Roman"/>
          <w:sz w:val="24"/>
          <w:szCs w:val="24"/>
        </w:rPr>
      </w:pPr>
      <w:r w:rsidRPr="005D12CB">
        <w:rPr>
          <w:rFonts w:ascii="Times New Roman" w:hAnsi="Times New Roman" w:cs="Times New Roman"/>
          <w:sz w:val="24"/>
          <w:szCs w:val="24"/>
        </w:rPr>
        <w:t>є нейтральною, тобто вільною від упереджень;</w:t>
      </w:r>
    </w:p>
    <w:p w:rsidR="006C6DBE" w:rsidRPr="005D12CB" w:rsidRDefault="006C6DBE" w:rsidP="006C6DBE">
      <w:pPr>
        <w:numPr>
          <w:ilvl w:val="0"/>
          <w:numId w:val="1"/>
        </w:numPr>
        <w:shd w:val="clear" w:color="auto" w:fill="FFFFFF"/>
        <w:tabs>
          <w:tab w:val="left" w:pos="993"/>
        </w:tabs>
        <w:spacing w:after="0" w:line="240" w:lineRule="auto"/>
        <w:ind w:left="993" w:hanging="567"/>
        <w:jc w:val="both"/>
        <w:rPr>
          <w:rFonts w:ascii="Times New Roman" w:hAnsi="Times New Roman" w:cs="Times New Roman"/>
          <w:sz w:val="24"/>
          <w:szCs w:val="24"/>
        </w:rPr>
      </w:pPr>
      <w:r w:rsidRPr="005D12CB">
        <w:rPr>
          <w:rFonts w:ascii="Times New Roman" w:hAnsi="Times New Roman" w:cs="Times New Roman"/>
          <w:sz w:val="24"/>
          <w:szCs w:val="24"/>
        </w:rPr>
        <w:t>є повною в усіх суттєвих аспектах.</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Під час здійснення судження керівництво Товариства посилається на прийнятність наведених далі джерел та враховує їх у низхідному порядку:</w:t>
      </w:r>
    </w:p>
    <w:p w:rsidR="006C6DBE" w:rsidRPr="005D12CB" w:rsidRDefault="006C6DBE" w:rsidP="006C6DBE">
      <w:pPr>
        <w:numPr>
          <w:ilvl w:val="0"/>
          <w:numId w:val="2"/>
        </w:numPr>
        <w:tabs>
          <w:tab w:val="left" w:pos="993"/>
        </w:tabs>
        <w:spacing w:after="0" w:line="240" w:lineRule="auto"/>
        <w:ind w:left="993" w:hanging="567"/>
        <w:jc w:val="both"/>
        <w:rPr>
          <w:rFonts w:ascii="Times New Roman" w:hAnsi="Times New Roman" w:cs="Times New Roman"/>
          <w:sz w:val="24"/>
          <w:szCs w:val="24"/>
        </w:rPr>
      </w:pPr>
      <w:r w:rsidRPr="005D12CB">
        <w:rPr>
          <w:rFonts w:ascii="Times New Roman" w:hAnsi="Times New Roman" w:cs="Times New Roman"/>
          <w:sz w:val="24"/>
          <w:szCs w:val="24"/>
        </w:rPr>
        <w:t>вимоги в МСФЗ, у яких ідеться про подібні та пов’язані з ними питання;</w:t>
      </w:r>
    </w:p>
    <w:p w:rsidR="006C6DBE" w:rsidRPr="005D12CB" w:rsidRDefault="006C6DBE" w:rsidP="006C6DBE">
      <w:pPr>
        <w:numPr>
          <w:ilvl w:val="0"/>
          <w:numId w:val="2"/>
        </w:numPr>
        <w:tabs>
          <w:tab w:val="left" w:pos="993"/>
        </w:tabs>
        <w:spacing w:after="0" w:line="240" w:lineRule="auto"/>
        <w:ind w:left="993" w:hanging="567"/>
        <w:jc w:val="both"/>
        <w:rPr>
          <w:rFonts w:ascii="Times New Roman" w:hAnsi="Times New Roman" w:cs="Times New Roman"/>
          <w:sz w:val="24"/>
          <w:szCs w:val="24"/>
        </w:rPr>
      </w:pPr>
      <w:r w:rsidRPr="005D12CB">
        <w:rPr>
          <w:rFonts w:ascii="Times New Roman" w:hAnsi="Times New Roman" w:cs="Times New Roman"/>
          <w:sz w:val="24"/>
          <w:szCs w:val="24"/>
        </w:rPr>
        <w:t>визначення, критерії визнання та концепції оцінки активів, зобов’язань, доходів та витрат у Концептуальній основі фінансової звітності.</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Операції, що не регламентуються МСФЗ Товариством не здійснювались.</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
          <w:szCs w:val="2"/>
        </w:rPr>
      </w:pPr>
    </w:p>
    <w:p w:rsidR="006C6DBE" w:rsidRPr="005D12CB" w:rsidRDefault="006C6DBE" w:rsidP="006C6DBE">
      <w:pPr>
        <w:spacing w:after="0" w:line="240" w:lineRule="auto"/>
        <w:ind w:firstLine="708"/>
        <w:jc w:val="both"/>
        <w:rPr>
          <w:rFonts w:ascii="Times New Roman" w:hAnsi="Times New Roman" w:cs="Times New Roman"/>
          <w:sz w:val="24"/>
          <w:szCs w:val="24"/>
          <w:highlight w:val="yellow"/>
        </w:rPr>
      </w:pPr>
      <w:r w:rsidRPr="005D12CB">
        <w:rPr>
          <w:rFonts w:ascii="Times New Roman" w:hAnsi="Times New Roman" w:cs="Times New Roman"/>
          <w:b/>
          <w:i/>
          <w:sz w:val="24"/>
          <w:szCs w:val="24"/>
        </w:rPr>
        <w:t>4.2. Судження щодо справедливої вартості активів Товариства</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6C6DBE" w:rsidRPr="005D12CB" w:rsidRDefault="006C6DBE" w:rsidP="006C6DBE">
      <w:pPr>
        <w:spacing w:after="0" w:line="240" w:lineRule="auto"/>
        <w:ind w:firstLine="708"/>
        <w:jc w:val="both"/>
        <w:rPr>
          <w:rFonts w:ascii="Times New Roman" w:hAnsi="Times New Roman" w:cs="Times New Roman"/>
          <w:sz w:val="8"/>
          <w:szCs w:val="8"/>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highlight w:val="yellow"/>
        </w:rPr>
      </w:pPr>
      <w:r w:rsidRPr="005D12CB">
        <w:rPr>
          <w:rFonts w:ascii="Times New Roman" w:hAnsi="Times New Roman" w:cs="Times New Roman"/>
          <w:b/>
          <w:i/>
          <w:sz w:val="24"/>
          <w:szCs w:val="24"/>
        </w:rPr>
        <w:t>4.3. Судження щодо змін справедливої вартості фінансових активів</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Керівництво Товариства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а) вони з високим ступенем ймовірності зазнають змін з плином часу, оскільки оцінки базуються на припущеннях керівництва щодо відсоткових ставок, волатильності, змін валютних </w:t>
      </w:r>
      <w:r w:rsidRPr="005D12CB">
        <w:rPr>
          <w:rFonts w:ascii="Times New Roman" w:hAnsi="Times New Roman" w:cs="Times New Roman"/>
          <w:sz w:val="24"/>
          <w:szCs w:val="24"/>
        </w:rPr>
        <w:lastRenderedPageBreak/>
        <w:t xml:space="preserve">курсів, показників кредитоспроможності контрагентів, коригувань під час оцінки інструментів, а також специфічних особливостей операцій; та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б) вплив зміни в оцінках на активи, відображені в звіті про фінансовий стан, а також на доходи (витрати) може бути значним.</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Якби керівництво Товариства використовувало інші припущення щодо відсоткових ставок, волатильності, курсів обміну валют, 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Розуміючи важливість використання облікових оцінок та припущень щодо справедливої вартості фінансових активів в разі відсутності вхідних даних щодо справедливої вартості першого рівня, Керівництво Товариства планує використовувати оцінки та судження які базуються на професійній компетенції працівників Підприємства, досвіді та минулих подіях, а також з використанням розрахунків та моделей вартості фінансових активів. Залучення  зовнішніх експертних оцінок щодо таких фінансових інструментів де оцінка, яка базується на професійній компетенції, досвіді та розрахунках є недостатньою, на думку Керівництва є прийнятним та необхідним.</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Використання різних маркетингових припущень та/або методів оцінки також може мати значний вплив на передбачувану справедливу вартість.</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b/>
          <w:i/>
          <w:sz w:val="24"/>
          <w:szCs w:val="24"/>
        </w:rPr>
        <w:t xml:space="preserve">           4.4.Судження щодо очікуваних термінів утримування фінансових інструментів</w:t>
      </w:r>
    </w:p>
    <w:p w:rsidR="006C6DBE" w:rsidRPr="005D12CB" w:rsidRDefault="006C6DBE" w:rsidP="006C6DBE">
      <w:pPr>
        <w:spacing w:after="0" w:line="240" w:lineRule="auto"/>
        <w:ind w:firstLine="708"/>
        <w:jc w:val="both"/>
        <w:rPr>
          <w:rFonts w:ascii="Times New Roman" w:hAnsi="Times New Roman" w:cs="Times New Roman"/>
          <w:sz w:val="6"/>
          <w:szCs w:val="6"/>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Керівництво Товариства застосовує професійне судження щодо термінів утримання фінансових інструментів, що входять до складу фінансових активів Товариства. Професійне судження за цим питанням ґрунтується на оцінці ризиків фінансового інструменту, його прибутковості й динаміці та інших факторів. Проте існують невизначеності, які можуть бути пов’язані з призупиненням обігу цінних паперів, що не є підконтрольним керівництву Товариства фактором і може суттєво вплинути на оцінку фінансових інструментів.</w:t>
      </w:r>
    </w:p>
    <w:p w:rsidR="006C6DBE" w:rsidRPr="005D12CB" w:rsidRDefault="006C6DBE" w:rsidP="006C6DBE">
      <w:pPr>
        <w:spacing w:after="0" w:line="240" w:lineRule="auto"/>
        <w:ind w:firstLine="708"/>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4.5.Використання ставок дисконтування</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Довгострокова дебіторська заборгованість обліковується за амортизованою вартістю з урахуванням ефективної ставки відсотка, яка дорівнює середньозваженій ставці депозитів за місяць, що передує місяцю укладання договору. Ставка дисконтування не змінюється, а лишається такою, як при первісному визнанні цієї дисконтованої вартості.</w:t>
      </w:r>
    </w:p>
    <w:p w:rsidR="006C6DBE" w:rsidRPr="005D12CB" w:rsidRDefault="006C6DBE" w:rsidP="006C6DBE">
      <w:pPr>
        <w:spacing w:after="0" w:line="240" w:lineRule="auto"/>
        <w:ind w:firstLine="709"/>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4.6.Судження щодо виявлення ознак знецінення активів</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Відносно фінансових активів, які оцінюються за амортизованою вартістю, Товариство на дату виникнення фінансових активів та на кожну звітну дату визначає рівень кредитного ризику.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w:t>
      </w:r>
      <w:r w:rsidRPr="005D12CB">
        <w:rPr>
          <w:rFonts w:ascii="Times New Roman" w:hAnsi="Times New Roman" w:cs="Times New Roman"/>
          <w:sz w:val="24"/>
          <w:szCs w:val="24"/>
        </w:rPr>
        <w:lastRenderedPageBreak/>
        <w:t xml:space="preserve">знизити, але не обов’язково здатність позичальника виконувати свої зобов'язання щодо договірних грошових потоків.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Товариства або ніж кредитний ризик юрисдикції, в якій Товариство здійснює діяльність.</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Товариство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Очікувані кредитні збитки відображають власні очікування Товариства щодо кредитних збитків.</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6"/>
          <w:szCs w:val="6"/>
          <w:highlight w:val="yellow"/>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6"/>
          <w:szCs w:val="26"/>
        </w:rPr>
      </w:pPr>
      <w:r w:rsidRPr="005D12CB">
        <w:rPr>
          <w:rFonts w:ascii="Times New Roman" w:hAnsi="Times New Roman" w:cs="Times New Roman"/>
          <w:b/>
          <w:sz w:val="26"/>
          <w:szCs w:val="26"/>
        </w:rPr>
        <w:t xml:space="preserve">5. Розкриття інформації щодо використання справедливої вартості </w:t>
      </w:r>
    </w:p>
    <w:p w:rsidR="006C6DBE" w:rsidRPr="005D12CB" w:rsidRDefault="006C6DBE" w:rsidP="006C6DBE">
      <w:pPr>
        <w:shd w:val="clear" w:color="auto" w:fill="FFFFFF"/>
        <w:spacing w:after="0" w:line="240" w:lineRule="auto"/>
        <w:ind w:left="708"/>
        <w:jc w:val="both"/>
        <w:rPr>
          <w:rFonts w:ascii="Times New Roman" w:hAnsi="Times New Roman" w:cs="Times New Roman"/>
          <w:sz w:val="24"/>
          <w:szCs w:val="24"/>
        </w:rPr>
      </w:pPr>
      <w:r w:rsidRPr="005D12CB">
        <w:rPr>
          <w:rFonts w:ascii="Times New Roman" w:hAnsi="Times New Roman" w:cs="Times New Roman"/>
          <w:b/>
          <w:i/>
          <w:sz w:val="24"/>
          <w:szCs w:val="24"/>
        </w:rPr>
        <w:t>5.1. Методики оцінювання та вхідні дані, використані для складання оцінок за справедливою вартістю</w:t>
      </w:r>
    </w:p>
    <w:p w:rsidR="006C6DBE" w:rsidRPr="005D12CB" w:rsidRDefault="006C6DBE" w:rsidP="006C6DBE">
      <w:pPr>
        <w:shd w:val="clear" w:color="auto" w:fill="FFFFFF"/>
        <w:spacing w:after="0" w:line="240" w:lineRule="auto"/>
        <w:ind w:firstLine="708"/>
        <w:jc w:val="both"/>
        <w:rPr>
          <w:rFonts w:ascii="Times New Roman" w:hAnsi="Times New Roman" w:cs="Times New Roman"/>
        </w:rPr>
      </w:pPr>
      <w:r w:rsidRPr="005D12CB">
        <w:rPr>
          <w:rFonts w:ascii="Times New Roman" w:hAnsi="Times New Roman" w:cs="Times New Roman"/>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9"/>
        <w:gridCol w:w="3518"/>
        <w:gridCol w:w="1499"/>
        <w:gridCol w:w="2551"/>
      </w:tblGrid>
      <w:tr w:rsidR="006C6DBE" w:rsidRPr="005D12CB" w:rsidTr="00794AE4">
        <w:trPr>
          <w:trHeight w:val="1092"/>
        </w:trPr>
        <w:tc>
          <w:tcPr>
            <w:tcW w:w="2179"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i/>
              </w:rPr>
              <w:t>Класи активів та зобов’язань, оцінених за справедливою вартістю</w:t>
            </w:r>
          </w:p>
        </w:tc>
        <w:tc>
          <w:tcPr>
            <w:tcW w:w="3518" w:type="dxa"/>
          </w:tcPr>
          <w:p w:rsidR="006C6DBE" w:rsidRPr="005D12CB" w:rsidRDefault="006C6DBE" w:rsidP="00794AE4">
            <w:pPr>
              <w:spacing w:after="0" w:line="240" w:lineRule="auto"/>
              <w:jc w:val="center"/>
              <w:rPr>
                <w:rFonts w:ascii="Times New Roman" w:hAnsi="Times New Roman" w:cs="Times New Roman"/>
              </w:rPr>
            </w:pP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i/>
              </w:rPr>
              <w:t>Методики оцінювання</w:t>
            </w:r>
          </w:p>
        </w:tc>
        <w:tc>
          <w:tcPr>
            <w:tcW w:w="1499"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i/>
              </w:rPr>
              <w:t>Метод оцінки (ринковий, дохідний, витратний)</w:t>
            </w:r>
          </w:p>
        </w:tc>
        <w:tc>
          <w:tcPr>
            <w:tcW w:w="2551" w:type="dxa"/>
          </w:tcPr>
          <w:p w:rsidR="006C6DBE" w:rsidRPr="005D12CB" w:rsidRDefault="006C6DBE" w:rsidP="00794AE4">
            <w:pPr>
              <w:spacing w:after="0" w:line="240" w:lineRule="auto"/>
              <w:jc w:val="center"/>
              <w:rPr>
                <w:rFonts w:ascii="Times New Roman" w:hAnsi="Times New Roman" w:cs="Times New Roman"/>
              </w:rPr>
            </w:pP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i/>
              </w:rPr>
              <w:t>Вихідні дані</w:t>
            </w:r>
          </w:p>
        </w:tc>
      </w:tr>
      <w:tr w:rsidR="006C6DBE" w:rsidRPr="005D12CB" w:rsidTr="00794AE4">
        <w:tc>
          <w:tcPr>
            <w:tcW w:w="217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 xml:space="preserve">Грошові кошти </w:t>
            </w:r>
          </w:p>
        </w:tc>
        <w:tc>
          <w:tcPr>
            <w:tcW w:w="3518"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Первісна та подальша оцінка грошових коштів здійснюється за справедливою вартістю, яка дорівнює їх номінальній вартості</w:t>
            </w:r>
          </w:p>
        </w:tc>
        <w:tc>
          <w:tcPr>
            <w:tcW w:w="149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Ринковий</w:t>
            </w:r>
          </w:p>
        </w:tc>
        <w:tc>
          <w:tcPr>
            <w:tcW w:w="2551"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Офіційні курси НБУ</w:t>
            </w:r>
          </w:p>
        </w:tc>
      </w:tr>
      <w:tr w:rsidR="006C6DBE" w:rsidRPr="005D12CB" w:rsidTr="00794AE4">
        <w:tc>
          <w:tcPr>
            <w:tcW w:w="217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Депозити (крім депозитів до запитання)</w:t>
            </w:r>
          </w:p>
        </w:tc>
        <w:tc>
          <w:tcPr>
            <w:tcW w:w="3518"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9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Дохідний (дисконтування грошових потоків)</w:t>
            </w:r>
          </w:p>
        </w:tc>
        <w:tc>
          <w:tcPr>
            <w:tcW w:w="2551"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Ставки за депозитами, ефективні ставки за депозитними договорами</w:t>
            </w:r>
          </w:p>
        </w:tc>
      </w:tr>
      <w:tr w:rsidR="006C6DBE" w:rsidRPr="005D12CB" w:rsidTr="00794AE4">
        <w:tc>
          <w:tcPr>
            <w:tcW w:w="217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Боргові цінні папери</w:t>
            </w:r>
          </w:p>
        </w:tc>
        <w:tc>
          <w:tcPr>
            <w:tcW w:w="3518"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Первісна оцінка боргових цінних паперів як фінансових активів здійснюється за справедливою вартістю, яка зазвичай дорівнює ціні операції, в ході якої був отриманий актив. Подальша оцінка боргових цінних паперів здійснюється за справедливою вартістю.</w:t>
            </w:r>
          </w:p>
        </w:tc>
        <w:tc>
          <w:tcPr>
            <w:tcW w:w="149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 xml:space="preserve">Ринковий, дохідний </w:t>
            </w:r>
          </w:p>
        </w:tc>
        <w:tc>
          <w:tcPr>
            <w:tcW w:w="2551"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Офіційні біржові курси організаторів торгів на дату оцінки, котирування аналогічних боргових цінних паперів, дисконтовані потоки грошових коштів</w:t>
            </w:r>
          </w:p>
        </w:tc>
      </w:tr>
      <w:tr w:rsidR="006C6DBE" w:rsidRPr="005D12CB" w:rsidTr="00794AE4">
        <w:tc>
          <w:tcPr>
            <w:tcW w:w="217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Інструменти капіталу</w:t>
            </w:r>
          </w:p>
        </w:tc>
        <w:tc>
          <w:tcPr>
            <w:tcW w:w="3518"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 xml:space="preserve">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w:t>
            </w:r>
            <w:r w:rsidRPr="005D12CB">
              <w:rPr>
                <w:rFonts w:ascii="Times New Roman" w:hAnsi="Times New Roman" w:cs="Times New Roman"/>
              </w:rPr>
              <w:lastRenderedPageBreak/>
              <w:t>капіталу здійснюється за справедливою вартістю на дату оцінки.</w:t>
            </w:r>
          </w:p>
        </w:tc>
        <w:tc>
          <w:tcPr>
            <w:tcW w:w="149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lastRenderedPageBreak/>
              <w:t>Ринковий, витратний</w:t>
            </w:r>
          </w:p>
        </w:tc>
        <w:tc>
          <w:tcPr>
            <w:tcW w:w="2551"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 xml:space="preserve">Офіційні біржові курси організаторів торгів на дату оцінки, за відсутності визначеного біржового курсу на дату оцінки, </w:t>
            </w:r>
            <w:r w:rsidRPr="005D12CB">
              <w:rPr>
                <w:rFonts w:ascii="Times New Roman" w:hAnsi="Times New Roman" w:cs="Times New Roman"/>
              </w:rPr>
              <w:lastRenderedPageBreak/>
              <w:t>використовується остання балансова вартість, ціни закриття біржового торгового дня</w:t>
            </w:r>
          </w:p>
        </w:tc>
      </w:tr>
      <w:tr w:rsidR="006C6DBE" w:rsidRPr="005D12CB" w:rsidTr="00794AE4">
        <w:tc>
          <w:tcPr>
            <w:tcW w:w="217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lastRenderedPageBreak/>
              <w:t>Дебіторська заборгованість</w:t>
            </w:r>
          </w:p>
        </w:tc>
        <w:tc>
          <w:tcPr>
            <w:tcW w:w="3518"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9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Дохідний</w:t>
            </w:r>
          </w:p>
        </w:tc>
        <w:tc>
          <w:tcPr>
            <w:tcW w:w="2551"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Контрактні умови, ймовірність погашення, очікувані вхідні грошові потоки</w:t>
            </w:r>
          </w:p>
        </w:tc>
      </w:tr>
      <w:tr w:rsidR="006C6DBE" w:rsidRPr="005D12CB" w:rsidTr="00794AE4">
        <w:tc>
          <w:tcPr>
            <w:tcW w:w="217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Поточні зобов’язання</w:t>
            </w:r>
          </w:p>
        </w:tc>
        <w:tc>
          <w:tcPr>
            <w:tcW w:w="3518"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Первісна та подальша оцінка поточних зобов’язань здійснюється за вартістю погашення</w:t>
            </w:r>
          </w:p>
        </w:tc>
        <w:tc>
          <w:tcPr>
            <w:tcW w:w="1499"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Витратний</w:t>
            </w:r>
          </w:p>
        </w:tc>
        <w:tc>
          <w:tcPr>
            <w:tcW w:w="2551"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Контрактні умови, ймовірність погашення, очікувані вихідні грошові потоки</w:t>
            </w:r>
          </w:p>
        </w:tc>
      </w:tr>
    </w:tbl>
    <w:p w:rsidR="006C6DBE" w:rsidRPr="005D12CB" w:rsidRDefault="006C6DBE" w:rsidP="006C6DBE">
      <w:pPr>
        <w:spacing w:after="0" w:line="240" w:lineRule="auto"/>
        <w:ind w:firstLine="708"/>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08"/>
        <w:jc w:val="both"/>
        <w:rPr>
          <w:rFonts w:ascii="Times New Roman" w:hAnsi="Times New Roman" w:cs="Times New Roman"/>
          <w:sz w:val="23"/>
          <w:szCs w:val="23"/>
        </w:rPr>
      </w:pPr>
      <w:r w:rsidRPr="005D12CB">
        <w:rPr>
          <w:rFonts w:ascii="Times New Roman" w:hAnsi="Times New Roman" w:cs="Times New Roman"/>
          <w:sz w:val="23"/>
          <w:szCs w:val="23"/>
        </w:rPr>
        <w:t>Принципи оцінки за справедливою вартістю.</w:t>
      </w:r>
    </w:p>
    <w:p w:rsidR="006C6DBE" w:rsidRPr="005D12CB" w:rsidRDefault="006C6DBE" w:rsidP="006C6DBE">
      <w:pPr>
        <w:spacing w:after="0" w:line="240" w:lineRule="auto"/>
        <w:ind w:firstLine="708"/>
        <w:jc w:val="both"/>
        <w:rPr>
          <w:rFonts w:ascii="Times New Roman" w:hAnsi="Times New Roman" w:cs="Times New Roman"/>
          <w:sz w:val="23"/>
          <w:szCs w:val="23"/>
        </w:rPr>
      </w:pPr>
      <w:r w:rsidRPr="005D12CB">
        <w:rPr>
          <w:rFonts w:ascii="Times New Roman" w:hAnsi="Times New Roman" w:cs="Times New Roman"/>
          <w:sz w:val="23"/>
          <w:szCs w:val="23"/>
        </w:rPr>
        <w:t>Товариство класифікує оцінки за справедливою вартістю за допомогою ієрархії справедливої вартості:</w:t>
      </w:r>
    </w:p>
    <w:p w:rsidR="006C6DBE" w:rsidRPr="005D12CB" w:rsidRDefault="006C6DBE" w:rsidP="006C6DBE">
      <w:pPr>
        <w:spacing w:after="0" w:line="240" w:lineRule="auto"/>
        <w:jc w:val="both"/>
        <w:rPr>
          <w:rFonts w:ascii="Times New Roman" w:hAnsi="Times New Roman" w:cs="Times New Roman"/>
          <w:sz w:val="23"/>
          <w:szCs w:val="23"/>
        </w:rPr>
      </w:pPr>
      <w:r w:rsidRPr="005D12CB">
        <w:rPr>
          <w:rFonts w:ascii="Times New Roman" w:hAnsi="Times New Roman" w:cs="Times New Roman"/>
          <w:sz w:val="23"/>
          <w:szCs w:val="23"/>
        </w:rPr>
        <w:t>- рівень 1: ціни котирувань на активних ринках для ідентичних активів або зобов’язань;</w:t>
      </w:r>
    </w:p>
    <w:p w:rsidR="006C6DBE" w:rsidRPr="005D12CB" w:rsidRDefault="006C6DBE" w:rsidP="006C6DBE">
      <w:pPr>
        <w:spacing w:after="0" w:line="240" w:lineRule="auto"/>
        <w:jc w:val="both"/>
        <w:rPr>
          <w:rFonts w:ascii="Times New Roman" w:hAnsi="Times New Roman" w:cs="Times New Roman"/>
          <w:sz w:val="23"/>
          <w:szCs w:val="23"/>
        </w:rPr>
      </w:pPr>
      <w:r w:rsidRPr="005D12CB">
        <w:rPr>
          <w:rFonts w:ascii="Times New Roman" w:hAnsi="Times New Roman" w:cs="Times New Roman"/>
          <w:sz w:val="23"/>
          <w:szCs w:val="23"/>
        </w:rPr>
        <w:t>- рівень 2: вхідні дані, інші ніж ціни котирувань, що увійшли у рівень 1, які спостерігаються для активів або зобов’язань або прямо, або опосередковано</w:t>
      </w:r>
    </w:p>
    <w:p w:rsidR="006C6DBE" w:rsidRPr="005D12CB" w:rsidRDefault="006C6DBE" w:rsidP="006C6DBE">
      <w:pPr>
        <w:spacing w:after="0" w:line="240" w:lineRule="auto"/>
        <w:jc w:val="both"/>
        <w:rPr>
          <w:rFonts w:ascii="Times New Roman" w:hAnsi="Times New Roman" w:cs="Times New Roman"/>
          <w:sz w:val="23"/>
          <w:szCs w:val="23"/>
        </w:rPr>
      </w:pPr>
      <w:r w:rsidRPr="005D12CB">
        <w:rPr>
          <w:rFonts w:ascii="Times New Roman" w:hAnsi="Times New Roman" w:cs="Times New Roman"/>
          <w:sz w:val="23"/>
          <w:szCs w:val="23"/>
        </w:rPr>
        <w:t>- рівень 3: вхідні дані активів або зобов’язань, що не ґрунтуються на даних ринку, які можна спостерігати.</w:t>
      </w:r>
    </w:p>
    <w:p w:rsidR="006C6DBE" w:rsidRPr="005D12CB" w:rsidRDefault="006C6DBE" w:rsidP="006C6DBE">
      <w:pPr>
        <w:spacing w:after="0" w:line="240" w:lineRule="auto"/>
        <w:ind w:firstLine="708"/>
        <w:jc w:val="both"/>
        <w:rPr>
          <w:rFonts w:ascii="Times New Roman" w:hAnsi="Times New Roman" w:cs="Times New Roman"/>
          <w:sz w:val="23"/>
          <w:szCs w:val="23"/>
        </w:rPr>
      </w:pPr>
      <w:r w:rsidRPr="005D12CB">
        <w:rPr>
          <w:rFonts w:ascii="Times New Roman" w:hAnsi="Times New Roman" w:cs="Times New Roman"/>
          <w:sz w:val="23"/>
          <w:szCs w:val="23"/>
        </w:rPr>
        <w:t>Кращим свідченням справедливої вартості фінансового активу або фінансового зобов’язання є ціни котирування на активному ринку. Фінансовий інструмент вважається котируваним на активному ринку, якщо ціни котирування легко і регулярно доступні (за допомогою біржі, дилера, брокера, промислової групи, служби інформації про ціни або регулювального агентства) та відображають фактичні й регулярно здійснювані ринкові операції між незалежними сторонами. Справедлива вартість визначається як ціна, узгоджена між зацікавленим покупцем та зацікавленим продавцем в операції незалежних сторін. Мета визначення справедливої вартості для фінансового інструмента, який відкрито купується та продається на активному ринку - отримати ціну, за якою відбулась би операція на дату балансу з цим інструментом (тобто без модифікації або перепакування інструмента) на найсприятливішому активному ринку, до якого суб'єкт господарювання має безпосередній доступ. Проте суб'єкт господарювання коригує ціну на сприятливішому ринку для відображення будь-яких розходжень кредитного ризику контрагента між різними інструментами, які відкрито купуються та продаються на цьому ринку, та інструментом, що його оцінюють. Існування опублікованих цін котирування на активному ринку є, як правило, найкращим доказом справедливої вартості і якщо вони існують, їх застосовують для оцінки фінансового активу або фінансового зобов'язання.</w:t>
      </w:r>
    </w:p>
    <w:p w:rsidR="006C6DBE" w:rsidRPr="005D12CB" w:rsidRDefault="006C6DBE" w:rsidP="006C6DBE">
      <w:pPr>
        <w:spacing w:after="0" w:line="240" w:lineRule="auto"/>
        <w:ind w:firstLine="708"/>
        <w:jc w:val="both"/>
        <w:rPr>
          <w:rFonts w:ascii="Times New Roman" w:hAnsi="Times New Roman" w:cs="Times New Roman"/>
          <w:sz w:val="23"/>
          <w:szCs w:val="23"/>
        </w:rPr>
      </w:pPr>
      <w:r w:rsidRPr="005D12CB">
        <w:rPr>
          <w:rFonts w:ascii="Times New Roman" w:hAnsi="Times New Roman" w:cs="Times New Roman"/>
          <w:sz w:val="23"/>
          <w:szCs w:val="23"/>
        </w:rPr>
        <w:t xml:space="preserve">Якщо ринок для фінансового інструмента не є активним, Товариство визначає справедливу вартість, застосовуючи методи оцінювання. Такі методи базуються на застосуванні останніх ринкових операцій між обізнаними, зацікавленими та незалежними сторонами (якщо вони доступні), посиланні на поточну справедливу вартість іншого ідентичного інструмента, аналізі дисконтованих грошових потоків. Мета застосування методів оцінювання –визначити, якою була б ціна операції на дату оцінки в обміні між незалежними сторонами, виходячи із звичайних міркувань бізнесу. Справедлива вартість оцінюється на основі результатів застосування методів оцінювання, в яких максимально враховуються ринкові показники (та якомога менше –дані, специфічні для компанії). Періодично Товариство обстежує методи оцінювання та перевіряє їх на обґрунтованість, застосовуючи ціни спостережених поточних ринкових операцій з такими самими інструментами, або на основі інших доступних спостережених ринкових даних. </w:t>
      </w:r>
    </w:p>
    <w:p w:rsidR="006C6DBE" w:rsidRPr="005D12CB" w:rsidRDefault="006C6DBE" w:rsidP="006C6DBE">
      <w:pPr>
        <w:spacing w:after="0" w:line="240" w:lineRule="auto"/>
        <w:ind w:left="708"/>
        <w:jc w:val="both"/>
        <w:rPr>
          <w:rFonts w:ascii="Times New Roman" w:hAnsi="Times New Roman" w:cs="Times New Roman"/>
          <w:sz w:val="24"/>
          <w:szCs w:val="24"/>
        </w:rPr>
      </w:pPr>
      <w:bookmarkStart w:id="0" w:name="bookmark=id.gjdgxs" w:colFirst="0" w:colLast="0"/>
      <w:bookmarkEnd w:id="0"/>
    </w:p>
    <w:p w:rsidR="006C6DBE" w:rsidRPr="005D12CB" w:rsidRDefault="006C6DBE" w:rsidP="006C6DBE">
      <w:pPr>
        <w:spacing w:after="0" w:line="240" w:lineRule="auto"/>
        <w:ind w:left="708"/>
        <w:jc w:val="both"/>
        <w:rPr>
          <w:rFonts w:ascii="Times New Roman" w:hAnsi="Times New Roman" w:cs="Times New Roman"/>
          <w:sz w:val="24"/>
          <w:szCs w:val="24"/>
        </w:rPr>
      </w:pPr>
      <w:r w:rsidRPr="005D12CB">
        <w:rPr>
          <w:rFonts w:ascii="Times New Roman" w:hAnsi="Times New Roman" w:cs="Times New Roman"/>
          <w:b/>
          <w:i/>
          <w:sz w:val="24"/>
          <w:szCs w:val="24"/>
        </w:rPr>
        <w:t>5.2. Рівень ієрархії справедливої вартості, до якого належать оцінки справедливої вартості</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992"/>
        <w:gridCol w:w="992"/>
        <w:gridCol w:w="992"/>
        <w:gridCol w:w="993"/>
        <w:gridCol w:w="992"/>
        <w:gridCol w:w="942"/>
        <w:gridCol w:w="1042"/>
        <w:gridCol w:w="993"/>
      </w:tblGrid>
      <w:tr w:rsidR="006C6DBE" w:rsidRPr="005D12CB" w:rsidTr="00794AE4">
        <w:trPr>
          <w:trHeight w:val="997"/>
        </w:trPr>
        <w:tc>
          <w:tcPr>
            <w:tcW w:w="2235" w:type="dxa"/>
          </w:tcPr>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lastRenderedPageBreak/>
              <w:t>Класи активів</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та</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зобов’язань,</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оцінених за</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справедливою</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вартістю</w:t>
            </w:r>
          </w:p>
        </w:tc>
        <w:tc>
          <w:tcPr>
            <w:tcW w:w="1984" w:type="dxa"/>
            <w:gridSpan w:val="2"/>
            <w:vAlign w:val="center"/>
          </w:tcPr>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1 рівень</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(ті, що мають</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котирування, та</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спостережувані)</w:t>
            </w:r>
          </w:p>
        </w:tc>
        <w:tc>
          <w:tcPr>
            <w:tcW w:w="1985" w:type="dxa"/>
            <w:gridSpan w:val="2"/>
            <w:vAlign w:val="center"/>
          </w:tcPr>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2 рівень</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(ті, що не мають</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котирувань, але</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спостережувані)</w:t>
            </w:r>
          </w:p>
        </w:tc>
        <w:tc>
          <w:tcPr>
            <w:tcW w:w="1934" w:type="dxa"/>
            <w:gridSpan w:val="2"/>
            <w:vAlign w:val="center"/>
          </w:tcPr>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3 рівень</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(ті, що не мають</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котирувань і не є</w:t>
            </w:r>
          </w:p>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спостережуваними)</w:t>
            </w:r>
          </w:p>
        </w:tc>
        <w:tc>
          <w:tcPr>
            <w:tcW w:w="2035" w:type="dxa"/>
            <w:gridSpan w:val="2"/>
            <w:vAlign w:val="center"/>
          </w:tcPr>
          <w:p w:rsidR="006C6DBE" w:rsidRPr="005D12CB" w:rsidRDefault="006C6DBE" w:rsidP="00794AE4">
            <w:pPr>
              <w:spacing w:after="0" w:line="240" w:lineRule="auto"/>
              <w:jc w:val="center"/>
              <w:rPr>
                <w:rFonts w:ascii="Times New Roman" w:hAnsi="Times New Roman" w:cs="Times New Roman"/>
                <w:sz w:val="19"/>
                <w:szCs w:val="19"/>
              </w:rPr>
            </w:pPr>
            <w:r w:rsidRPr="005D12CB">
              <w:rPr>
                <w:rFonts w:ascii="Times New Roman" w:hAnsi="Times New Roman" w:cs="Times New Roman"/>
                <w:b/>
                <w:sz w:val="19"/>
                <w:szCs w:val="19"/>
              </w:rPr>
              <w:t>Усього</w:t>
            </w:r>
          </w:p>
        </w:tc>
      </w:tr>
      <w:tr w:rsidR="006C6DBE" w:rsidRPr="005D12CB" w:rsidTr="00794AE4">
        <w:trPr>
          <w:trHeight w:val="60"/>
        </w:trPr>
        <w:tc>
          <w:tcPr>
            <w:tcW w:w="2235" w:type="dxa"/>
            <w:vAlign w:val="center"/>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Дата оцінки</w:t>
            </w:r>
          </w:p>
        </w:tc>
        <w:tc>
          <w:tcPr>
            <w:tcW w:w="992"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31.12.2021</w:t>
            </w:r>
          </w:p>
        </w:tc>
        <w:tc>
          <w:tcPr>
            <w:tcW w:w="992"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31.12.2020</w:t>
            </w:r>
          </w:p>
        </w:tc>
        <w:tc>
          <w:tcPr>
            <w:tcW w:w="992"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31.12.2021</w:t>
            </w:r>
          </w:p>
        </w:tc>
        <w:tc>
          <w:tcPr>
            <w:tcW w:w="993"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31.12.2020</w:t>
            </w:r>
          </w:p>
        </w:tc>
        <w:tc>
          <w:tcPr>
            <w:tcW w:w="992"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31.12.2021</w:t>
            </w:r>
          </w:p>
        </w:tc>
        <w:tc>
          <w:tcPr>
            <w:tcW w:w="942"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31.12.2020</w:t>
            </w:r>
          </w:p>
        </w:tc>
        <w:tc>
          <w:tcPr>
            <w:tcW w:w="1042"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31.12.2021</w:t>
            </w:r>
          </w:p>
        </w:tc>
        <w:tc>
          <w:tcPr>
            <w:tcW w:w="993" w:type="dxa"/>
            <w:vAlign w:val="center"/>
          </w:tcPr>
          <w:p w:rsidR="006C6DBE" w:rsidRPr="005D12CB" w:rsidRDefault="006C6DBE" w:rsidP="00794AE4">
            <w:pPr>
              <w:spacing w:after="0" w:line="240" w:lineRule="auto"/>
              <w:jc w:val="center"/>
              <w:rPr>
                <w:rFonts w:ascii="Times New Roman" w:hAnsi="Times New Roman" w:cs="Times New Roman"/>
                <w:sz w:val="16"/>
                <w:szCs w:val="16"/>
              </w:rPr>
            </w:pPr>
            <w:r w:rsidRPr="005D12CB">
              <w:rPr>
                <w:rFonts w:ascii="Times New Roman" w:hAnsi="Times New Roman" w:cs="Times New Roman"/>
                <w:sz w:val="16"/>
                <w:szCs w:val="16"/>
              </w:rPr>
              <w:t>31.12.2020</w:t>
            </w:r>
          </w:p>
        </w:tc>
      </w:tr>
      <w:tr w:rsidR="006C6DBE" w:rsidRPr="005D12CB" w:rsidTr="00794AE4">
        <w:trPr>
          <w:trHeight w:val="460"/>
        </w:trPr>
        <w:tc>
          <w:tcPr>
            <w:tcW w:w="2235"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Дебіторська заборгованість</w:t>
            </w:r>
          </w:p>
        </w:tc>
        <w:tc>
          <w:tcPr>
            <w:tcW w:w="99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3"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2" w:type="dxa"/>
            <w:vAlign w:val="center"/>
          </w:tcPr>
          <w:p w:rsidR="006C6DBE" w:rsidRPr="005D12CB" w:rsidRDefault="006C6DBE" w:rsidP="00794AE4">
            <w:pPr>
              <w:shd w:val="clear" w:color="auto" w:fill="FFFFFF"/>
              <w:spacing w:after="0" w:line="240" w:lineRule="auto"/>
              <w:jc w:val="center"/>
            </w:pPr>
            <w:r w:rsidRPr="005D12CB">
              <w:t>4 833</w:t>
            </w:r>
          </w:p>
        </w:tc>
        <w:tc>
          <w:tcPr>
            <w:tcW w:w="942" w:type="dxa"/>
            <w:vAlign w:val="center"/>
          </w:tcPr>
          <w:p w:rsidR="006C6DBE" w:rsidRPr="005D12CB" w:rsidRDefault="006C6DBE" w:rsidP="00794AE4">
            <w:pPr>
              <w:shd w:val="clear" w:color="auto" w:fill="FFFFFF"/>
              <w:spacing w:after="0" w:line="240" w:lineRule="auto"/>
              <w:jc w:val="center"/>
            </w:pPr>
            <w:r w:rsidRPr="005D12CB">
              <w:rPr>
                <w:rFonts w:ascii="Times New Roman" w:hAnsi="Times New Roman" w:cs="Times New Roman"/>
                <w:sz w:val="24"/>
                <w:szCs w:val="24"/>
              </w:rPr>
              <w:t>3 806</w:t>
            </w:r>
          </w:p>
        </w:tc>
        <w:tc>
          <w:tcPr>
            <w:tcW w:w="104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sz w:val="24"/>
                <w:szCs w:val="24"/>
              </w:rPr>
              <w:t> 4 833</w:t>
            </w:r>
          </w:p>
        </w:tc>
        <w:tc>
          <w:tcPr>
            <w:tcW w:w="993"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sz w:val="24"/>
                <w:szCs w:val="24"/>
              </w:rPr>
              <w:t>3 806</w:t>
            </w:r>
          </w:p>
        </w:tc>
      </w:tr>
      <w:tr w:rsidR="006C6DBE" w:rsidRPr="005D12CB" w:rsidTr="00794AE4">
        <w:trPr>
          <w:trHeight w:val="175"/>
        </w:trPr>
        <w:tc>
          <w:tcPr>
            <w:tcW w:w="2235" w:type="dxa"/>
          </w:tcPr>
          <w:p w:rsidR="006C6DBE" w:rsidRPr="005D12CB" w:rsidRDefault="006C6DBE" w:rsidP="00794AE4">
            <w:pPr>
              <w:spacing w:after="0" w:line="240" w:lineRule="auto"/>
              <w:rPr>
                <w:rFonts w:ascii="Times New Roman" w:hAnsi="Times New Roman" w:cs="Times New Roman"/>
              </w:rPr>
            </w:pPr>
            <w:r w:rsidRPr="005D12CB">
              <w:rPr>
                <w:rFonts w:ascii="Times New Roman" w:hAnsi="Times New Roman" w:cs="Times New Roman"/>
              </w:rPr>
              <w:t xml:space="preserve">Довгострокові фінансові інвестиції, </w:t>
            </w:r>
          </w:p>
        </w:tc>
        <w:tc>
          <w:tcPr>
            <w:tcW w:w="99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3"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2" w:type="dxa"/>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c>
          <w:tcPr>
            <w:tcW w:w="942" w:type="dxa"/>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1 443</w:t>
            </w:r>
          </w:p>
        </w:tc>
        <w:tc>
          <w:tcPr>
            <w:tcW w:w="1042"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w:t>
            </w:r>
          </w:p>
        </w:tc>
        <w:tc>
          <w:tcPr>
            <w:tcW w:w="993"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sz w:val="24"/>
                <w:szCs w:val="24"/>
              </w:rPr>
              <w:t>1 443</w:t>
            </w:r>
          </w:p>
        </w:tc>
      </w:tr>
    </w:tbl>
    <w:p w:rsidR="006C6DBE" w:rsidRPr="005D12CB" w:rsidRDefault="006C6DBE" w:rsidP="006C6DBE">
      <w:pPr>
        <w:spacing w:after="0" w:line="240" w:lineRule="auto"/>
        <w:rPr>
          <w:rFonts w:ascii="Times New Roman" w:hAnsi="Times New Roman" w:cs="Times New Roman"/>
          <w:sz w:val="10"/>
          <w:szCs w:val="10"/>
          <w:highlight w:val="yellow"/>
        </w:rPr>
      </w:pPr>
    </w:p>
    <w:p w:rsidR="006C6DBE" w:rsidRPr="005D12CB" w:rsidRDefault="006C6DBE" w:rsidP="006C6DBE">
      <w:pPr>
        <w:spacing w:after="0" w:line="240" w:lineRule="auto"/>
        <w:ind w:firstLine="708"/>
        <w:rPr>
          <w:rFonts w:ascii="Times New Roman" w:hAnsi="Times New Roman" w:cs="Times New Roman"/>
          <w:sz w:val="24"/>
          <w:szCs w:val="24"/>
          <w:highlight w:val="yellow"/>
        </w:rPr>
      </w:pPr>
      <w:r w:rsidRPr="005D12CB">
        <w:rPr>
          <w:rFonts w:ascii="Times New Roman" w:hAnsi="Times New Roman" w:cs="Times New Roman"/>
          <w:sz w:val="24"/>
          <w:szCs w:val="24"/>
        </w:rPr>
        <w:t xml:space="preserve">У 2021році переведень між рівнями ієрархії не було. </w:t>
      </w:r>
    </w:p>
    <w:p w:rsidR="006C6DBE" w:rsidRPr="005D12CB" w:rsidRDefault="006C6DBE" w:rsidP="006C6DBE">
      <w:pPr>
        <w:spacing w:after="0" w:line="240" w:lineRule="auto"/>
        <w:rPr>
          <w:rFonts w:ascii="Times New Roman" w:hAnsi="Times New Roman" w:cs="Times New Roman"/>
          <w:sz w:val="10"/>
          <w:szCs w:val="10"/>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5.4. Інші розкриття, що вимагаються МСФЗ 13 «Оцінка справедливої вартості»</w:t>
      </w:r>
    </w:p>
    <w:p w:rsidR="006C6DBE" w:rsidRPr="005D12CB" w:rsidRDefault="006C6DBE" w:rsidP="006C6DBE">
      <w:pPr>
        <w:shd w:val="clear" w:color="auto" w:fill="FFFFFF"/>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ab/>
        <w:t>Справедлива вартість фінансових інструментів в порівнянні з їх балансовою вартістю</w:t>
      </w:r>
    </w:p>
    <w:tbl>
      <w:tblPr>
        <w:tblW w:w="9781" w:type="dxa"/>
        <w:tblLayout w:type="fixed"/>
        <w:tblLook w:val="0000"/>
      </w:tblPr>
      <w:tblGrid>
        <w:gridCol w:w="4253"/>
        <w:gridCol w:w="1276"/>
        <w:gridCol w:w="1275"/>
        <w:gridCol w:w="1276"/>
        <w:gridCol w:w="1701"/>
      </w:tblGrid>
      <w:tr w:rsidR="006C6DBE" w:rsidRPr="005D12CB" w:rsidTr="00794AE4">
        <w:trPr>
          <w:cantSplit/>
          <w:trHeight w:val="671"/>
        </w:trPr>
        <w:tc>
          <w:tcPr>
            <w:tcW w:w="4253" w:type="dxa"/>
            <w:vMerge w:val="restart"/>
            <w:tcBorders>
              <w:top w:val="single" w:sz="6" w:space="0" w:color="000000"/>
              <w:left w:val="single" w:sz="6" w:space="0" w:color="000000"/>
              <w:right w:val="single" w:sz="6" w:space="0" w:color="000000"/>
            </w:tcBorders>
            <w:shd w:val="clear" w:color="auto" w:fill="FFFFFF"/>
          </w:tcPr>
          <w:p w:rsidR="006C6DBE" w:rsidRPr="005D12CB" w:rsidRDefault="006C6DBE" w:rsidP="00794AE4">
            <w:pPr>
              <w:spacing w:after="0" w:line="240" w:lineRule="auto"/>
              <w:rPr>
                <w:rFonts w:ascii="Times New Roman" w:hAnsi="Times New Roman" w:cs="Times New Roman"/>
                <w:sz w:val="24"/>
                <w:szCs w:val="24"/>
              </w:rPr>
            </w:pP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b/>
              </w:rPr>
              <w:t>Балансова вартість,</w:t>
            </w:r>
          </w:p>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b/>
              </w:rPr>
              <w:t>тис. грн</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FFFFFF"/>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b/>
              </w:rPr>
              <w:t>Справедлива вартість,</w:t>
            </w:r>
          </w:p>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b/>
              </w:rPr>
              <w:t>тис. грн</w:t>
            </w:r>
          </w:p>
        </w:tc>
      </w:tr>
      <w:tr w:rsidR="006C6DBE" w:rsidRPr="005D12CB" w:rsidTr="00794AE4">
        <w:trPr>
          <w:cantSplit/>
          <w:trHeight w:val="364"/>
        </w:trPr>
        <w:tc>
          <w:tcPr>
            <w:tcW w:w="4253" w:type="dxa"/>
            <w:vMerge/>
            <w:tcBorders>
              <w:top w:val="single" w:sz="6" w:space="0" w:color="000000"/>
              <w:left w:val="single" w:sz="6" w:space="0" w:color="000000"/>
              <w:right w:val="single" w:sz="6" w:space="0" w:color="000000"/>
            </w:tcBorders>
            <w:shd w:val="clear" w:color="auto" w:fill="FFFFFF"/>
          </w:tcPr>
          <w:p w:rsidR="006C6DBE" w:rsidRPr="005D12CB" w:rsidRDefault="006C6DBE" w:rsidP="00794AE4">
            <w:pPr>
              <w:widowControl w:val="0"/>
              <w:spacing w:after="0" w:line="240"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31.12.2020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31.12.2021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31.12.2020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31.12.2021</w:t>
            </w:r>
          </w:p>
        </w:tc>
      </w:tr>
      <w:tr w:rsidR="006C6DBE" w:rsidRPr="005D12CB" w:rsidTr="00794AE4">
        <w:trPr>
          <w:trHeight w:val="285"/>
        </w:trPr>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b/>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b/>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b/>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b/>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b/>
              </w:rPr>
              <w:t>5</w:t>
            </w:r>
          </w:p>
        </w:tc>
      </w:tr>
      <w:tr w:rsidR="006C6DBE" w:rsidRPr="005D12CB" w:rsidTr="00794AE4">
        <w:trPr>
          <w:trHeight w:val="456"/>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ind w:right="134"/>
              <w:rPr>
                <w:rFonts w:ascii="Times New Roman" w:hAnsi="Times New Roman" w:cs="Times New Roman"/>
                <w:sz w:val="24"/>
                <w:szCs w:val="24"/>
              </w:rPr>
            </w:pPr>
            <w:r w:rsidRPr="005D12CB">
              <w:rPr>
                <w:rFonts w:ascii="Times New Roman" w:hAnsi="Times New Roman" w:cs="Times New Roman"/>
              </w:rPr>
              <w:t xml:space="preserve">Довгострокові фінансові Інвестиції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1 443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1 443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r>
      <w:tr w:rsidR="006C6DBE" w:rsidRPr="005D12CB" w:rsidTr="00794AE4">
        <w:trPr>
          <w:trHeight w:val="683"/>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ind w:right="24"/>
              <w:rPr>
                <w:rFonts w:ascii="Times New Roman" w:hAnsi="Times New Roman" w:cs="Times New Roman"/>
                <w:sz w:val="24"/>
                <w:szCs w:val="24"/>
              </w:rPr>
            </w:pPr>
            <w:r w:rsidRPr="005D12CB">
              <w:rPr>
                <w:rFonts w:ascii="Times New Roman" w:hAnsi="Times New Roman" w:cs="Times New Roman"/>
              </w:rPr>
              <w:t>Інша дебіторська заборгованість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2 242</w:t>
            </w:r>
          </w:p>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2 831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2 242</w:t>
            </w:r>
          </w:p>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2 831</w:t>
            </w:r>
          </w:p>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p>
        </w:tc>
      </w:tr>
      <w:tr w:rsidR="006C6DBE" w:rsidRPr="005D12CB" w:rsidTr="00794AE4">
        <w:trPr>
          <w:trHeight w:val="428"/>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ind w:right="293" w:firstLine="5"/>
              <w:rPr>
                <w:rFonts w:ascii="Times New Roman" w:hAnsi="Times New Roman" w:cs="Times New Roman"/>
                <w:sz w:val="24"/>
                <w:szCs w:val="24"/>
              </w:rPr>
            </w:pPr>
            <w:r w:rsidRPr="005D12CB">
              <w:rPr>
                <w:rFonts w:ascii="Times New Roman" w:hAnsi="Times New Roman" w:cs="Times New Roman"/>
              </w:rPr>
              <w:t>Торговельна дебіторська заборгованість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1 564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2 002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1 564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2 002</w:t>
            </w:r>
          </w:p>
        </w:tc>
      </w:tr>
      <w:tr w:rsidR="006C6DBE" w:rsidRPr="005D12CB" w:rsidTr="00794AE4">
        <w:trPr>
          <w:trHeight w:val="407"/>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ind w:right="53"/>
              <w:rPr>
                <w:rFonts w:ascii="Times New Roman" w:hAnsi="Times New Roman" w:cs="Times New Roman"/>
                <w:sz w:val="24"/>
                <w:szCs w:val="24"/>
              </w:rPr>
            </w:pPr>
            <w:r w:rsidRPr="005D12CB">
              <w:rPr>
                <w:rFonts w:ascii="Times New Roman" w:hAnsi="Times New Roman" w:cs="Times New Roman"/>
              </w:rPr>
              <w:t xml:space="preserve">Грошові кошти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rPr>
              <w:t>17 371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rPr>
              <w:t>11 468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rPr>
              <w:t>17 371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6DBE" w:rsidRPr="005D12CB" w:rsidRDefault="006C6DBE" w:rsidP="00794AE4">
            <w:pPr>
              <w:shd w:val="clear" w:color="auto" w:fill="FFFFFF"/>
              <w:spacing w:after="0" w:line="240" w:lineRule="auto"/>
              <w:jc w:val="center"/>
              <w:rPr>
                <w:rFonts w:ascii="Times New Roman" w:hAnsi="Times New Roman" w:cs="Times New Roman"/>
              </w:rPr>
            </w:pPr>
            <w:r w:rsidRPr="005D12CB">
              <w:rPr>
                <w:rFonts w:ascii="Times New Roman" w:hAnsi="Times New Roman" w:cs="Times New Roman"/>
              </w:rPr>
              <w:t>11 468</w:t>
            </w:r>
          </w:p>
        </w:tc>
      </w:tr>
    </w:tbl>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Керівництво Товариства вважає, що наведені нижче розкриття щодо застосування справедливої вартості  по кожному з зазначених груп активів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firstLine="709"/>
        <w:jc w:val="both"/>
        <w:rPr>
          <w:rFonts w:ascii="Times New Roman" w:hAnsi="Times New Roman" w:cs="Times New Roman"/>
          <w:sz w:val="26"/>
          <w:szCs w:val="26"/>
        </w:rPr>
      </w:pPr>
      <w:r w:rsidRPr="005D12CB">
        <w:rPr>
          <w:rFonts w:ascii="Times New Roman" w:hAnsi="Times New Roman" w:cs="Times New Roman"/>
          <w:b/>
          <w:sz w:val="26"/>
          <w:szCs w:val="26"/>
        </w:rPr>
        <w:t>6. Розкриття інформації, що підтверджує статті, подані у звітності</w:t>
      </w:r>
    </w:p>
    <w:p w:rsidR="006C6DBE" w:rsidRPr="005D12CB" w:rsidRDefault="006C6DBE" w:rsidP="006C6DBE">
      <w:pPr>
        <w:spacing w:after="0" w:line="240" w:lineRule="auto"/>
        <w:ind w:firstLine="709"/>
        <w:jc w:val="both"/>
        <w:rPr>
          <w:rFonts w:ascii="Times New Roman" w:hAnsi="Times New Roman" w:cs="Times New Roman"/>
          <w:sz w:val="10"/>
          <w:szCs w:val="10"/>
          <w:highlight w:val="yellow"/>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 xml:space="preserve">6.1. Основні засоби </w:t>
      </w:r>
    </w:p>
    <w:p w:rsidR="006C6DBE" w:rsidRPr="005D12CB" w:rsidRDefault="006C6DBE" w:rsidP="006C6DBE">
      <w:pPr>
        <w:shd w:val="clear" w:color="auto" w:fill="FFFFFF"/>
        <w:spacing w:after="0" w:line="240" w:lineRule="auto"/>
        <w:jc w:val="both"/>
        <w:rPr>
          <w:rFonts w:ascii="Times New Roman" w:hAnsi="Times New Roman" w:cs="Times New Roman"/>
          <w:sz w:val="10"/>
          <w:szCs w:val="10"/>
          <w:highlight w:val="yellow"/>
        </w:rPr>
      </w:pPr>
    </w:p>
    <w:tbl>
      <w:tblPr>
        <w:tblW w:w="1020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0"/>
        <w:gridCol w:w="1200"/>
        <w:gridCol w:w="1515"/>
        <w:gridCol w:w="1395"/>
        <w:gridCol w:w="1365"/>
        <w:gridCol w:w="1605"/>
        <w:gridCol w:w="1290"/>
      </w:tblGrid>
      <w:tr w:rsidR="006C6DBE" w:rsidRPr="005D12CB" w:rsidTr="00794AE4">
        <w:trPr>
          <w:cantSplit/>
          <w:trHeight w:val="305"/>
        </w:trPr>
        <w:tc>
          <w:tcPr>
            <w:tcW w:w="1830" w:type="dxa"/>
            <w:vMerge w:val="restart"/>
          </w:tcPr>
          <w:p w:rsidR="006C6DBE" w:rsidRPr="005D12CB" w:rsidRDefault="006C6DBE" w:rsidP="00794AE4">
            <w:pPr>
              <w:spacing w:after="0" w:line="240" w:lineRule="auto"/>
              <w:jc w:val="both"/>
              <w:rPr>
                <w:rFonts w:ascii="Times New Roman" w:hAnsi="Times New Roman" w:cs="Times New Roman"/>
              </w:rPr>
            </w:pPr>
          </w:p>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b/>
              </w:rPr>
              <w:t>Назва</w:t>
            </w:r>
          </w:p>
        </w:tc>
        <w:tc>
          <w:tcPr>
            <w:tcW w:w="4110" w:type="dxa"/>
            <w:gridSpan w:val="3"/>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31.12.2021, тис. грн</w:t>
            </w:r>
          </w:p>
        </w:tc>
        <w:tc>
          <w:tcPr>
            <w:tcW w:w="4260" w:type="dxa"/>
            <w:gridSpan w:val="3"/>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31.12.2020, тис. грн</w:t>
            </w:r>
          </w:p>
        </w:tc>
      </w:tr>
      <w:tr w:rsidR="006C6DBE" w:rsidRPr="005D12CB" w:rsidTr="00794AE4">
        <w:trPr>
          <w:cantSplit/>
        </w:trPr>
        <w:tc>
          <w:tcPr>
            <w:tcW w:w="1830" w:type="dxa"/>
            <w:vMerge/>
          </w:tcPr>
          <w:p w:rsidR="006C6DBE" w:rsidRPr="005D12CB" w:rsidRDefault="006C6DBE" w:rsidP="00794AE4">
            <w:pPr>
              <w:widowControl w:val="0"/>
              <w:spacing w:after="0" w:line="240" w:lineRule="auto"/>
              <w:rPr>
                <w:rFonts w:ascii="Times New Roman" w:hAnsi="Times New Roman" w:cs="Times New Roman"/>
              </w:rPr>
            </w:pPr>
          </w:p>
        </w:tc>
        <w:tc>
          <w:tcPr>
            <w:tcW w:w="1200"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Первісна вартість</w:t>
            </w:r>
          </w:p>
        </w:tc>
        <w:tc>
          <w:tcPr>
            <w:tcW w:w="1515"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Амортизація</w:t>
            </w:r>
          </w:p>
        </w:tc>
        <w:tc>
          <w:tcPr>
            <w:tcW w:w="1395"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Балансова вартість</w:t>
            </w:r>
          </w:p>
        </w:tc>
        <w:tc>
          <w:tcPr>
            <w:tcW w:w="1365"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Первісна вартість</w:t>
            </w:r>
          </w:p>
        </w:tc>
        <w:tc>
          <w:tcPr>
            <w:tcW w:w="1605"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Амортизація</w:t>
            </w:r>
          </w:p>
        </w:tc>
        <w:tc>
          <w:tcPr>
            <w:tcW w:w="1290"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Балансова вартість</w:t>
            </w:r>
          </w:p>
        </w:tc>
      </w:tr>
      <w:tr w:rsidR="006C6DBE" w:rsidRPr="005D12CB" w:rsidTr="00794AE4">
        <w:tc>
          <w:tcPr>
            <w:tcW w:w="1830"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Будинки та споруди</w:t>
            </w:r>
          </w:p>
        </w:tc>
        <w:tc>
          <w:tcPr>
            <w:tcW w:w="120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2 372</w:t>
            </w:r>
          </w:p>
        </w:tc>
        <w:tc>
          <w:tcPr>
            <w:tcW w:w="151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1 345</w:t>
            </w:r>
          </w:p>
        </w:tc>
        <w:tc>
          <w:tcPr>
            <w:tcW w:w="139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1 027</w:t>
            </w:r>
          </w:p>
        </w:tc>
        <w:tc>
          <w:tcPr>
            <w:tcW w:w="136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2 223</w:t>
            </w:r>
          </w:p>
        </w:tc>
        <w:tc>
          <w:tcPr>
            <w:tcW w:w="160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1 235</w:t>
            </w:r>
          </w:p>
        </w:tc>
        <w:tc>
          <w:tcPr>
            <w:tcW w:w="129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988</w:t>
            </w:r>
          </w:p>
        </w:tc>
      </w:tr>
      <w:tr w:rsidR="006C6DBE" w:rsidRPr="005D12CB" w:rsidTr="00794AE4">
        <w:tc>
          <w:tcPr>
            <w:tcW w:w="1830"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Машини та обладнання</w:t>
            </w:r>
          </w:p>
        </w:tc>
        <w:tc>
          <w:tcPr>
            <w:tcW w:w="120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3 442</w:t>
            </w:r>
          </w:p>
        </w:tc>
        <w:tc>
          <w:tcPr>
            <w:tcW w:w="151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3 136</w:t>
            </w:r>
          </w:p>
          <w:p w:rsidR="006C6DBE" w:rsidRPr="005D12CB" w:rsidRDefault="006C6DBE" w:rsidP="00794AE4">
            <w:pPr>
              <w:spacing w:after="0" w:line="240" w:lineRule="auto"/>
              <w:jc w:val="center"/>
              <w:rPr>
                <w:rFonts w:ascii="Times New Roman" w:hAnsi="Times New Roman" w:cs="Times New Roman"/>
                <w:sz w:val="24"/>
                <w:szCs w:val="24"/>
              </w:rPr>
            </w:pPr>
          </w:p>
        </w:tc>
        <w:tc>
          <w:tcPr>
            <w:tcW w:w="139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306</w:t>
            </w:r>
          </w:p>
        </w:tc>
        <w:tc>
          <w:tcPr>
            <w:tcW w:w="136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3 452</w:t>
            </w:r>
          </w:p>
        </w:tc>
        <w:tc>
          <w:tcPr>
            <w:tcW w:w="160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2 932</w:t>
            </w:r>
          </w:p>
        </w:tc>
        <w:tc>
          <w:tcPr>
            <w:tcW w:w="129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520</w:t>
            </w:r>
          </w:p>
        </w:tc>
      </w:tr>
      <w:tr w:rsidR="006C6DBE" w:rsidRPr="005D12CB" w:rsidTr="00794AE4">
        <w:tc>
          <w:tcPr>
            <w:tcW w:w="1830"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Транспортні засоби</w:t>
            </w:r>
          </w:p>
        </w:tc>
        <w:tc>
          <w:tcPr>
            <w:tcW w:w="120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3 196</w:t>
            </w:r>
          </w:p>
        </w:tc>
        <w:tc>
          <w:tcPr>
            <w:tcW w:w="151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3 084</w:t>
            </w:r>
          </w:p>
        </w:tc>
        <w:tc>
          <w:tcPr>
            <w:tcW w:w="139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112</w:t>
            </w:r>
          </w:p>
        </w:tc>
        <w:tc>
          <w:tcPr>
            <w:tcW w:w="136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3 272</w:t>
            </w:r>
          </w:p>
        </w:tc>
        <w:tc>
          <w:tcPr>
            <w:tcW w:w="160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3 104</w:t>
            </w:r>
          </w:p>
        </w:tc>
        <w:tc>
          <w:tcPr>
            <w:tcW w:w="129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168</w:t>
            </w:r>
          </w:p>
        </w:tc>
      </w:tr>
      <w:tr w:rsidR="006C6DBE" w:rsidRPr="005D12CB" w:rsidTr="00794AE4">
        <w:trPr>
          <w:trHeight w:val="960"/>
        </w:trPr>
        <w:tc>
          <w:tcPr>
            <w:tcW w:w="1830"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 xml:space="preserve"> Інструменти, прилади та інвентар"</w:t>
            </w:r>
          </w:p>
        </w:tc>
        <w:tc>
          <w:tcPr>
            <w:tcW w:w="120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822</w:t>
            </w:r>
          </w:p>
        </w:tc>
        <w:tc>
          <w:tcPr>
            <w:tcW w:w="151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806</w:t>
            </w:r>
          </w:p>
        </w:tc>
        <w:tc>
          <w:tcPr>
            <w:tcW w:w="139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16</w:t>
            </w:r>
          </w:p>
        </w:tc>
        <w:tc>
          <w:tcPr>
            <w:tcW w:w="136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873</w:t>
            </w:r>
          </w:p>
        </w:tc>
        <w:tc>
          <w:tcPr>
            <w:tcW w:w="160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844</w:t>
            </w:r>
          </w:p>
        </w:tc>
        <w:tc>
          <w:tcPr>
            <w:tcW w:w="129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29</w:t>
            </w:r>
          </w:p>
        </w:tc>
      </w:tr>
      <w:tr w:rsidR="006C6DBE" w:rsidRPr="005D12CB" w:rsidTr="00794AE4">
        <w:tc>
          <w:tcPr>
            <w:tcW w:w="1830" w:type="dxa"/>
          </w:tcPr>
          <w:p w:rsidR="006C6DBE" w:rsidRPr="005D12CB" w:rsidRDefault="006C6DBE" w:rsidP="00794AE4">
            <w:pPr>
              <w:spacing w:after="0" w:line="240" w:lineRule="auto"/>
              <w:jc w:val="both"/>
              <w:rPr>
                <w:rFonts w:ascii="Times New Roman" w:hAnsi="Times New Roman" w:cs="Times New Roman"/>
              </w:rPr>
            </w:pPr>
            <w:r w:rsidRPr="005D12CB">
              <w:rPr>
                <w:rFonts w:ascii="Times New Roman" w:hAnsi="Times New Roman" w:cs="Times New Roman"/>
              </w:rPr>
              <w:t>Інші основні засоби</w:t>
            </w:r>
          </w:p>
        </w:tc>
        <w:tc>
          <w:tcPr>
            <w:tcW w:w="120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1 387</w:t>
            </w:r>
          </w:p>
        </w:tc>
        <w:tc>
          <w:tcPr>
            <w:tcW w:w="151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1 219</w:t>
            </w:r>
          </w:p>
        </w:tc>
        <w:tc>
          <w:tcPr>
            <w:tcW w:w="139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168</w:t>
            </w:r>
          </w:p>
        </w:tc>
        <w:tc>
          <w:tcPr>
            <w:tcW w:w="136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1 291</w:t>
            </w:r>
          </w:p>
        </w:tc>
        <w:tc>
          <w:tcPr>
            <w:tcW w:w="160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1 092</w:t>
            </w:r>
          </w:p>
        </w:tc>
        <w:tc>
          <w:tcPr>
            <w:tcW w:w="129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199</w:t>
            </w:r>
          </w:p>
        </w:tc>
      </w:tr>
      <w:tr w:rsidR="006C6DBE" w:rsidRPr="005D12CB" w:rsidTr="00794AE4">
        <w:tc>
          <w:tcPr>
            <w:tcW w:w="1830" w:type="dxa"/>
          </w:tcPr>
          <w:p w:rsidR="006C6DBE" w:rsidRPr="005D12CB" w:rsidRDefault="006C6DBE" w:rsidP="00794AE4">
            <w:pPr>
              <w:spacing w:after="0" w:line="240" w:lineRule="auto"/>
              <w:jc w:val="both"/>
              <w:rPr>
                <w:rFonts w:ascii="Times New Roman" w:hAnsi="Times New Roman" w:cs="Times New Roman"/>
                <w:b/>
              </w:rPr>
            </w:pPr>
            <w:r w:rsidRPr="005D12CB">
              <w:rPr>
                <w:rFonts w:ascii="Times New Roman" w:hAnsi="Times New Roman" w:cs="Times New Roman"/>
                <w:b/>
              </w:rPr>
              <w:t>Всього</w:t>
            </w:r>
          </w:p>
        </w:tc>
        <w:tc>
          <w:tcPr>
            <w:tcW w:w="1200"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11 219</w:t>
            </w:r>
          </w:p>
        </w:tc>
        <w:tc>
          <w:tcPr>
            <w:tcW w:w="1515"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9 590</w:t>
            </w:r>
          </w:p>
        </w:tc>
        <w:tc>
          <w:tcPr>
            <w:tcW w:w="1395"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1 629</w:t>
            </w:r>
          </w:p>
        </w:tc>
        <w:tc>
          <w:tcPr>
            <w:tcW w:w="1365"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11 111</w:t>
            </w:r>
          </w:p>
        </w:tc>
        <w:tc>
          <w:tcPr>
            <w:tcW w:w="1605"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9 207</w:t>
            </w:r>
          </w:p>
        </w:tc>
        <w:tc>
          <w:tcPr>
            <w:tcW w:w="1290"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1 904</w:t>
            </w:r>
          </w:p>
        </w:tc>
      </w:tr>
    </w:tbl>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lastRenderedPageBreak/>
        <w:t xml:space="preserve"> Протягом 2021 року не відбулося суттєвих змін в структурі Основних засобів. Первісна вартість Основних засобів становить 11 219 тис. грн., Амортизація становить 9 590 тис. грн.  Значна частина основних засобів , а саме 85%  повністю замортизовані. </w:t>
      </w:r>
    </w:p>
    <w:p w:rsidR="006C6DBE" w:rsidRPr="005D12CB" w:rsidRDefault="006C6DBE" w:rsidP="006C6DBE">
      <w:pPr>
        <w:spacing w:after="0" w:line="240" w:lineRule="auto"/>
        <w:jc w:val="both"/>
      </w:pPr>
      <w:r w:rsidRPr="005D12CB">
        <w:rPr>
          <w:b/>
          <w:i/>
        </w:rPr>
        <w:t xml:space="preserve">6.2. </w:t>
      </w:r>
      <w:r w:rsidRPr="005D12CB">
        <w:rPr>
          <w:rFonts w:ascii="Times New Roman" w:hAnsi="Times New Roman" w:cs="Times New Roman"/>
          <w:b/>
          <w:i/>
          <w:sz w:val="24"/>
          <w:szCs w:val="24"/>
        </w:rPr>
        <w:t>Облік інвестиційної нерухомості</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Облік інвестиційної нерухомості здійснюється згідно МСФЗ 40 «Інвестиційна нерухомість» за справедливою вартістю. Протягом 2021 року Товариством не здійснювалась переоцінка інвестиційної нерухомості, оскільки у відповідному періоді не встановлено причин, що призвели б до суттєвої зміни справедливої вартості інвестиційної нерухомості Товариства.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Станом на 31.12.2021р. вартість інвестиційної нерухомості за даними бухгалтерського обліку склала 89 052 тис.грн, </w:t>
      </w:r>
    </w:p>
    <w:p w:rsidR="006C6DBE" w:rsidRPr="005D12CB" w:rsidRDefault="006C6DBE" w:rsidP="006C6DBE">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 xml:space="preserve">Склад інвестиційної нерухомості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20"/>
        <w:gridCol w:w="2126"/>
        <w:gridCol w:w="2127"/>
      </w:tblGrid>
      <w:tr w:rsidR="006C6DBE" w:rsidRPr="005D12CB" w:rsidTr="00794AE4">
        <w:tc>
          <w:tcPr>
            <w:tcW w:w="5920"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b/>
                <w:sz w:val="24"/>
                <w:szCs w:val="24"/>
              </w:rPr>
              <w:t>Найменування</w:t>
            </w:r>
          </w:p>
        </w:tc>
        <w:tc>
          <w:tcPr>
            <w:tcW w:w="2126"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2021,</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тис. грн.</w:t>
            </w:r>
          </w:p>
        </w:tc>
        <w:tc>
          <w:tcPr>
            <w:tcW w:w="2127"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2020,</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тис. грн.</w:t>
            </w:r>
          </w:p>
        </w:tc>
      </w:tr>
      <w:tr w:rsidR="006C6DBE" w:rsidRPr="005D12CB" w:rsidTr="00794AE4">
        <w:tc>
          <w:tcPr>
            <w:tcW w:w="5920"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Приміщення для здачі в оренду</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57 779</w:t>
            </w:r>
          </w:p>
        </w:tc>
        <w:tc>
          <w:tcPr>
            <w:tcW w:w="2127"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57 779</w:t>
            </w:r>
          </w:p>
        </w:tc>
      </w:tr>
      <w:tr w:rsidR="006C6DBE" w:rsidRPr="005D12CB" w:rsidTr="00794AE4">
        <w:tc>
          <w:tcPr>
            <w:tcW w:w="5920"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Склади</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6 754</w:t>
            </w:r>
          </w:p>
        </w:tc>
        <w:tc>
          <w:tcPr>
            <w:tcW w:w="2127"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6 754</w:t>
            </w:r>
          </w:p>
        </w:tc>
      </w:tr>
      <w:tr w:rsidR="006C6DBE" w:rsidRPr="005D12CB" w:rsidTr="00794AE4">
        <w:tc>
          <w:tcPr>
            <w:tcW w:w="5920"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Котельні</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24 445</w:t>
            </w:r>
          </w:p>
        </w:tc>
        <w:tc>
          <w:tcPr>
            <w:tcW w:w="2127"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24 445</w:t>
            </w:r>
          </w:p>
        </w:tc>
      </w:tr>
      <w:tr w:rsidR="006C6DBE" w:rsidRPr="005D12CB" w:rsidTr="00794AE4">
        <w:tc>
          <w:tcPr>
            <w:tcW w:w="5920"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Гаражі</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74</w:t>
            </w:r>
          </w:p>
        </w:tc>
        <w:tc>
          <w:tcPr>
            <w:tcW w:w="2127"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74</w:t>
            </w:r>
          </w:p>
        </w:tc>
      </w:tr>
      <w:tr w:rsidR="006C6DBE" w:rsidRPr="005D12CB" w:rsidTr="00794AE4">
        <w:tc>
          <w:tcPr>
            <w:tcW w:w="5920"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b/>
                <w:sz w:val="24"/>
                <w:szCs w:val="24"/>
              </w:rPr>
              <w:t>Всього</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89 052</w:t>
            </w:r>
          </w:p>
        </w:tc>
        <w:tc>
          <w:tcPr>
            <w:tcW w:w="2127"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89 052</w:t>
            </w:r>
          </w:p>
        </w:tc>
      </w:tr>
    </w:tbl>
    <w:p w:rsidR="006C6DBE" w:rsidRPr="005D12CB" w:rsidRDefault="006C6DBE" w:rsidP="006C6DBE">
      <w:pPr>
        <w:spacing w:after="0" w:line="240" w:lineRule="auto"/>
        <w:ind w:left="360" w:firstLine="348"/>
        <w:jc w:val="both"/>
        <w:rPr>
          <w:rFonts w:ascii="Times New Roman" w:hAnsi="Times New Roman" w:cs="Times New Roman"/>
          <w:sz w:val="24"/>
          <w:szCs w:val="24"/>
        </w:rPr>
      </w:pPr>
    </w:p>
    <w:p w:rsidR="006C6DBE" w:rsidRPr="005D12CB" w:rsidRDefault="006C6DBE" w:rsidP="006C6DBE">
      <w:pPr>
        <w:spacing w:after="0" w:line="240" w:lineRule="auto"/>
        <w:ind w:left="360" w:firstLine="348"/>
        <w:jc w:val="both"/>
        <w:rPr>
          <w:rFonts w:ascii="Times New Roman" w:hAnsi="Times New Roman" w:cs="Times New Roman"/>
          <w:sz w:val="24"/>
          <w:szCs w:val="24"/>
        </w:rPr>
      </w:pPr>
      <w:r w:rsidRPr="005D12CB">
        <w:rPr>
          <w:rFonts w:ascii="Times New Roman" w:hAnsi="Times New Roman" w:cs="Times New Roman"/>
          <w:b/>
          <w:i/>
          <w:sz w:val="24"/>
          <w:szCs w:val="24"/>
        </w:rPr>
        <w:t>6.3. Нематеріальні активи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89"/>
        <w:gridCol w:w="1984"/>
        <w:gridCol w:w="1559"/>
        <w:gridCol w:w="2127"/>
        <w:gridCol w:w="1842"/>
      </w:tblGrid>
      <w:tr w:rsidR="006C6DBE" w:rsidRPr="005D12CB" w:rsidTr="00794AE4">
        <w:tc>
          <w:tcPr>
            <w:tcW w:w="2689" w:type="dxa"/>
            <w:vMerge w:val="restart"/>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Найменування</w:t>
            </w:r>
          </w:p>
        </w:tc>
        <w:tc>
          <w:tcPr>
            <w:tcW w:w="3543" w:type="dxa"/>
            <w:gridSpan w:val="2"/>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2021,</w:t>
            </w:r>
          </w:p>
          <w:p w:rsidR="006C6DBE" w:rsidRPr="005D12CB" w:rsidRDefault="006C6DBE" w:rsidP="00794AE4">
            <w:pPr>
              <w:spacing w:after="0" w:line="240" w:lineRule="auto"/>
              <w:jc w:val="center"/>
              <w:rPr>
                <w:rFonts w:ascii="Times New Roman" w:hAnsi="Times New Roman" w:cs="Times New Roman"/>
                <w:b/>
              </w:rPr>
            </w:pPr>
            <w:r w:rsidRPr="005D12CB">
              <w:rPr>
                <w:rFonts w:ascii="Times New Roman" w:hAnsi="Times New Roman" w:cs="Times New Roman"/>
                <w:b/>
              </w:rPr>
              <w:t xml:space="preserve"> тис. грн.</w:t>
            </w:r>
          </w:p>
        </w:tc>
        <w:tc>
          <w:tcPr>
            <w:tcW w:w="3969" w:type="dxa"/>
            <w:gridSpan w:val="2"/>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 xml:space="preserve">Станом на  31 грудня 2020, </w:t>
            </w:r>
          </w:p>
          <w:p w:rsidR="006C6DBE" w:rsidRPr="005D12CB" w:rsidRDefault="006C6DBE" w:rsidP="00794AE4">
            <w:pPr>
              <w:spacing w:after="0" w:line="240" w:lineRule="auto"/>
              <w:jc w:val="center"/>
              <w:rPr>
                <w:rFonts w:ascii="Times New Roman" w:hAnsi="Times New Roman" w:cs="Times New Roman"/>
                <w:b/>
              </w:rPr>
            </w:pPr>
            <w:r w:rsidRPr="005D12CB">
              <w:rPr>
                <w:rFonts w:ascii="Times New Roman" w:hAnsi="Times New Roman" w:cs="Times New Roman"/>
                <w:b/>
              </w:rPr>
              <w:t>тис. грн.</w:t>
            </w:r>
          </w:p>
        </w:tc>
      </w:tr>
      <w:tr w:rsidR="006C6DBE" w:rsidRPr="005D12CB" w:rsidTr="00794AE4">
        <w:trPr>
          <w:trHeight w:val="356"/>
        </w:trPr>
        <w:tc>
          <w:tcPr>
            <w:tcW w:w="2689" w:type="dxa"/>
            <w:vMerge/>
            <w:vAlign w:val="center"/>
          </w:tcPr>
          <w:p w:rsidR="006C6DBE" w:rsidRPr="005D12CB" w:rsidRDefault="006C6DBE" w:rsidP="00794AE4">
            <w:pPr>
              <w:spacing w:after="0" w:line="240" w:lineRule="auto"/>
              <w:rPr>
                <w:rFonts w:ascii="Times New Roman" w:hAnsi="Times New Roman" w:cs="Times New Roman"/>
                <w:sz w:val="24"/>
                <w:szCs w:val="24"/>
              </w:rPr>
            </w:pPr>
          </w:p>
        </w:tc>
        <w:tc>
          <w:tcPr>
            <w:tcW w:w="1984"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первісна вартість</w:t>
            </w:r>
          </w:p>
        </w:tc>
        <w:tc>
          <w:tcPr>
            <w:tcW w:w="1559"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амортизація</w:t>
            </w:r>
          </w:p>
        </w:tc>
        <w:tc>
          <w:tcPr>
            <w:tcW w:w="2127"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первісна вартість</w:t>
            </w:r>
          </w:p>
        </w:tc>
        <w:tc>
          <w:tcPr>
            <w:tcW w:w="1842"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rPr>
              <w:t>амортизація</w:t>
            </w:r>
          </w:p>
        </w:tc>
      </w:tr>
      <w:tr w:rsidR="006C6DBE" w:rsidRPr="005D12CB" w:rsidTr="00794AE4">
        <w:trPr>
          <w:trHeight w:val="356"/>
        </w:trPr>
        <w:tc>
          <w:tcPr>
            <w:tcW w:w="2689"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Товарний знак</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w:t>
            </w:r>
          </w:p>
        </w:tc>
        <w:tc>
          <w:tcPr>
            <w:tcW w:w="1559" w:type="dxa"/>
          </w:tcPr>
          <w:p w:rsidR="006C6DBE" w:rsidRPr="005D12CB" w:rsidRDefault="006C6DBE" w:rsidP="00794AE4">
            <w:pPr>
              <w:spacing w:after="0" w:line="240" w:lineRule="auto"/>
              <w:jc w:val="center"/>
              <w:rPr>
                <w:rFonts w:ascii="Times New Roman" w:hAnsi="Times New Roman" w:cs="Times New Roman"/>
                <w:sz w:val="24"/>
                <w:szCs w:val="24"/>
                <w:lang w:val="en-US"/>
              </w:rPr>
            </w:pPr>
            <w:r w:rsidRPr="005D12CB">
              <w:rPr>
                <w:rFonts w:ascii="Times New Roman" w:hAnsi="Times New Roman" w:cs="Times New Roman"/>
                <w:sz w:val="24"/>
                <w:szCs w:val="24"/>
                <w:lang w:val="en-US"/>
              </w:rPr>
              <w:t>7</w:t>
            </w:r>
          </w:p>
        </w:tc>
        <w:tc>
          <w:tcPr>
            <w:tcW w:w="2127"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w:t>
            </w:r>
          </w:p>
        </w:tc>
        <w:tc>
          <w:tcPr>
            <w:tcW w:w="1842" w:type="dxa"/>
          </w:tcPr>
          <w:p w:rsidR="006C6DBE" w:rsidRPr="005D12CB" w:rsidRDefault="006C6DBE" w:rsidP="00794AE4">
            <w:pPr>
              <w:spacing w:after="0" w:line="240" w:lineRule="auto"/>
              <w:jc w:val="center"/>
              <w:rPr>
                <w:rFonts w:ascii="Times New Roman" w:hAnsi="Times New Roman" w:cs="Times New Roman"/>
                <w:sz w:val="24"/>
                <w:szCs w:val="24"/>
                <w:lang w:val="en-US"/>
              </w:rPr>
            </w:pPr>
            <w:r w:rsidRPr="005D12CB">
              <w:rPr>
                <w:rFonts w:ascii="Times New Roman" w:hAnsi="Times New Roman" w:cs="Times New Roman"/>
                <w:sz w:val="24"/>
                <w:szCs w:val="24"/>
                <w:lang w:val="en-US"/>
              </w:rPr>
              <w:t>6</w:t>
            </w:r>
          </w:p>
        </w:tc>
      </w:tr>
      <w:tr w:rsidR="006C6DBE" w:rsidRPr="005D12CB" w:rsidTr="00794AE4">
        <w:trPr>
          <w:trHeight w:val="437"/>
        </w:trPr>
        <w:tc>
          <w:tcPr>
            <w:tcW w:w="2689"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Інші</w:t>
            </w:r>
          </w:p>
        </w:tc>
        <w:tc>
          <w:tcPr>
            <w:tcW w:w="1984"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18</w:t>
            </w:r>
          </w:p>
        </w:tc>
        <w:tc>
          <w:tcPr>
            <w:tcW w:w="1559" w:type="dxa"/>
          </w:tcPr>
          <w:p w:rsidR="006C6DBE" w:rsidRPr="005D12CB" w:rsidRDefault="006C6DBE" w:rsidP="00794AE4">
            <w:pPr>
              <w:spacing w:after="0" w:line="240" w:lineRule="auto"/>
              <w:jc w:val="center"/>
              <w:rPr>
                <w:rFonts w:ascii="Times New Roman" w:hAnsi="Times New Roman" w:cs="Times New Roman"/>
                <w:sz w:val="24"/>
                <w:szCs w:val="24"/>
                <w:lang w:val="en-US"/>
              </w:rPr>
            </w:pPr>
            <w:r w:rsidRPr="005D12CB">
              <w:rPr>
                <w:rFonts w:ascii="Times New Roman" w:hAnsi="Times New Roman" w:cs="Times New Roman"/>
                <w:sz w:val="24"/>
                <w:szCs w:val="24"/>
                <w:lang w:val="en-US"/>
              </w:rPr>
              <w:t>18</w:t>
            </w:r>
          </w:p>
        </w:tc>
        <w:tc>
          <w:tcPr>
            <w:tcW w:w="2127"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18</w:t>
            </w:r>
          </w:p>
        </w:tc>
        <w:tc>
          <w:tcPr>
            <w:tcW w:w="1842" w:type="dxa"/>
          </w:tcPr>
          <w:p w:rsidR="006C6DBE" w:rsidRPr="005D12CB" w:rsidRDefault="006C6DBE" w:rsidP="00794AE4">
            <w:pPr>
              <w:spacing w:after="0" w:line="240" w:lineRule="auto"/>
              <w:jc w:val="center"/>
              <w:rPr>
                <w:rFonts w:ascii="Times New Roman" w:hAnsi="Times New Roman" w:cs="Times New Roman"/>
                <w:sz w:val="24"/>
                <w:szCs w:val="24"/>
                <w:lang w:val="en-US"/>
              </w:rPr>
            </w:pPr>
            <w:r w:rsidRPr="005D12CB">
              <w:rPr>
                <w:rFonts w:ascii="Times New Roman" w:hAnsi="Times New Roman" w:cs="Times New Roman"/>
                <w:sz w:val="24"/>
                <w:szCs w:val="24"/>
                <w:lang w:val="en-US"/>
              </w:rPr>
              <w:t>18</w:t>
            </w:r>
          </w:p>
        </w:tc>
      </w:tr>
    </w:tbl>
    <w:p w:rsidR="006C6DBE" w:rsidRPr="005D12CB" w:rsidRDefault="006C6DBE" w:rsidP="006C6DBE">
      <w:pPr>
        <w:spacing w:after="0" w:line="240" w:lineRule="auto"/>
        <w:ind w:left="360" w:firstLine="348"/>
        <w:jc w:val="both"/>
        <w:rPr>
          <w:rFonts w:ascii="Times New Roman" w:hAnsi="Times New Roman" w:cs="Times New Roman"/>
          <w:sz w:val="24"/>
          <w:szCs w:val="24"/>
        </w:rPr>
      </w:pPr>
      <w:r w:rsidRPr="005D12CB">
        <w:rPr>
          <w:rFonts w:ascii="Times New Roman" w:hAnsi="Times New Roman" w:cs="Times New Roman"/>
          <w:b/>
          <w:i/>
          <w:sz w:val="24"/>
          <w:szCs w:val="24"/>
        </w:rPr>
        <w:t>6.4. Довгострокові фінансові інвестиції</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обліковувало в складі активів довгострокові фінансові інвестиції з переглядом справедливої вартості на кожну звітну дату з відображенням результатів переоцінки через сукупний прибуток(збиток). Протягом 2021 року Товариство продало довгострокові фінансові інвестиції та станом на кінець звітного періоду в складі інвестицій  наявні активи, які знецінені до нульової вартості, яка  відповідає справедливій вартості. </w:t>
      </w:r>
      <w:r w:rsidRPr="005D12CB">
        <w:rPr>
          <w:rFonts w:ascii="Times New Roman" w:hAnsi="Times New Roman" w:cs="Times New Roman"/>
          <w:b/>
          <w:i/>
          <w:sz w:val="24"/>
          <w:szCs w:val="24"/>
        </w:rPr>
        <w:t>Довгострокові фінансові інвестиції станом на 31.12.2021 р</w:t>
      </w:r>
      <w:r w:rsidRPr="005D12CB">
        <w:rPr>
          <w:rFonts w:ascii="Times New Roman" w:hAnsi="Times New Roman" w:cs="Times New Roman"/>
          <w:sz w:val="24"/>
          <w:szCs w:val="24"/>
        </w:rPr>
        <w:t>. мають наступну структуру:</w:t>
      </w:r>
    </w:p>
    <w:tbl>
      <w:tblPr>
        <w:tblW w:w="9972" w:type="dxa"/>
        <w:tblLayout w:type="fixed"/>
        <w:tblLook w:val="0000"/>
      </w:tblPr>
      <w:tblGrid>
        <w:gridCol w:w="1662"/>
        <w:gridCol w:w="1662"/>
        <w:gridCol w:w="1662"/>
        <w:gridCol w:w="1662"/>
        <w:gridCol w:w="1662"/>
        <w:gridCol w:w="1662"/>
      </w:tblGrid>
      <w:tr w:rsidR="006C6DBE" w:rsidRPr="005D12CB" w:rsidTr="00794AE4">
        <w:trPr>
          <w:trHeight w:val="1155"/>
        </w:trPr>
        <w:tc>
          <w:tcPr>
            <w:tcW w:w="1662" w:type="dxa"/>
            <w:tcBorders>
              <w:top w:val="single" w:sz="4" w:space="0" w:color="000000"/>
              <w:left w:val="single" w:sz="4" w:space="0" w:color="000000"/>
              <w:bottom w:val="single" w:sz="4" w:space="0" w:color="000000"/>
              <w:right w:val="single" w:sz="4" w:space="0" w:color="000000"/>
            </w:tcBorders>
            <w:vAlign w:val="center"/>
          </w:tcPr>
          <w:p w:rsidR="006C6DBE" w:rsidRPr="005D12CB" w:rsidRDefault="006C6DBE" w:rsidP="00794AE4">
            <w:pPr>
              <w:spacing w:after="0" w:line="240" w:lineRule="auto"/>
              <w:jc w:val="center"/>
            </w:pPr>
            <w:r w:rsidRPr="005D12CB">
              <w:rPr>
                <w:b/>
              </w:rPr>
              <w:t xml:space="preserve">Назва </w:t>
            </w:r>
          </w:p>
          <w:p w:rsidR="006C6DBE" w:rsidRPr="005D12CB" w:rsidRDefault="006C6DBE" w:rsidP="00794AE4">
            <w:pPr>
              <w:spacing w:after="0" w:line="240" w:lineRule="auto"/>
              <w:jc w:val="center"/>
            </w:pPr>
            <w:r w:rsidRPr="005D12CB">
              <w:rPr>
                <w:b/>
              </w:rPr>
              <w:t>довгострокової фінансової інвестиції</w:t>
            </w:r>
          </w:p>
        </w:tc>
        <w:tc>
          <w:tcPr>
            <w:tcW w:w="1662" w:type="dxa"/>
            <w:tcBorders>
              <w:top w:val="single" w:sz="4" w:space="0" w:color="000000"/>
              <w:left w:val="nil"/>
              <w:bottom w:val="single" w:sz="4" w:space="0" w:color="000000"/>
              <w:right w:val="single" w:sz="4" w:space="0" w:color="000000"/>
            </w:tcBorders>
            <w:vAlign w:val="center"/>
          </w:tcPr>
          <w:p w:rsidR="006C6DBE" w:rsidRPr="005D12CB" w:rsidRDefault="006C6DBE" w:rsidP="00794AE4">
            <w:pPr>
              <w:spacing w:after="0" w:line="240" w:lineRule="auto"/>
              <w:jc w:val="center"/>
            </w:pPr>
            <w:r w:rsidRPr="005D12CB">
              <w:rPr>
                <w:b/>
              </w:rPr>
              <w:t>% володіння , або кількість ЦП</w:t>
            </w:r>
          </w:p>
        </w:tc>
        <w:tc>
          <w:tcPr>
            <w:tcW w:w="1662" w:type="dxa"/>
            <w:tcBorders>
              <w:top w:val="single" w:sz="4" w:space="0" w:color="000000"/>
              <w:left w:val="nil"/>
              <w:bottom w:val="single" w:sz="4" w:space="0" w:color="000000"/>
              <w:right w:val="single" w:sz="4" w:space="0" w:color="000000"/>
            </w:tcBorders>
            <w:vAlign w:val="center"/>
          </w:tcPr>
          <w:p w:rsidR="006C6DBE" w:rsidRPr="005D12CB" w:rsidRDefault="006C6DBE" w:rsidP="00794AE4">
            <w:pPr>
              <w:spacing w:after="0" w:line="240" w:lineRule="auto"/>
              <w:jc w:val="center"/>
            </w:pPr>
            <w:r w:rsidRPr="005D12CB">
              <w:rPr>
                <w:b/>
              </w:rPr>
              <w:t>Вартість до переоцінки,</w:t>
            </w:r>
          </w:p>
          <w:p w:rsidR="006C6DBE" w:rsidRPr="005D12CB" w:rsidRDefault="006C6DBE" w:rsidP="00794AE4">
            <w:pPr>
              <w:spacing w:after="0" w:line="240" w:lineRule="auto"/>
              <w:jc w:val="center"/>
            </w:pPr>
            <w:r w:rsidRPr="005D12CB">
              <w:rPr>
                <w:b/>
              </w:rPr>
              <w:t xml:space="preserve"> тис. грн</w:t>
            </w:r>
          </w:p>
        </w:tc>
        <w:tc>
          <w:tcPr>
            <w:tcW w:w="1662" w:type="dxa"/>
            <w:tcBorders>
              <w:top w:val="single" w:sz="4" w:space="0" w:color="000000"/>
              <w:left w:val="nil"/>
              <w:bottom w:val="single" w:sz="4" w:space="0" w:color="000000"/>
              <w:right w:val="single" w:sz="4" w:space="0" w:color="000000"/>
            </w:tcBorders>
            <w:vAlign w:val="center"/>
          </w:tcPr>
          <w:p w:rsidR="006C6DBE" w:rsidRPr="005D12CB" w:rsidRDefault="006C6DBE" w:rsidP="00794AE4">
            <w:pPr>
              <w:spacing w:after="0" w:line="240" w:lineRule="auto"/>
              <w:jc w:val="center"/>
            </w:pPr>
            <w:r w:rsidRPr="005D12CB">
              <w:rPr>
                <w:b/>
              </w:rPr>
              <w:t xml:space="preserve">Уцінка </w:t>
            </w:r>
          </w:p>
        </w:tc>
        <w:tc>
          <w:tcPr>
            <w:tcW w:w="1662" w:type="dxa"/>
            <w:tcBorders>
              <w:top w:val="single" w:sz="4" w:space="0" w:color="000000"/>
              <w:left w:val="single" w:sz="4" w:space="0" w:color="000000"/>
              <w:bottom w:val="single" w:sz="4" w:space="0" w:color="000000"/>
              <w:right w:val="single" w:sz="4" w:space="0" w:color="000000"/>
            </w:tcBorders>
          </w:tcPr>
          <w:p w:rsidR="006C6DBE" w:rsidRPr="005D12CB" w:rsidRDefault="006C6DBE" w:rsidP="00794AE4">
            <w:pPr>
              <w:spacing w:after="0" w:line="240" w:lineRule="auto"/>
              <w:jc w:val="center"/>
              <w:rPr>
                <w:b/>
              </w:rPr>
            </w:pPr>
            <w:r w:rsidRPr="005D12CB">
              <w:rPr>
                <w:b/>
              </w:rPr>
              <w:t xml:space="preserve">Продано в </w:t>
            </w:r>
          </w:p>
          <w:p w:rsidR="006C6DBE" w:rsidRPr="005D12CB" w:rsidRDefault="006C6DBE" w:rsidP="00794AE4">
            <w:pPr>
              <w:spacing w:after="0" w:line="240" w:lineRule="auto"/>
              <w:jc w:val="center"/>
              <w:rPr>
                <w:b/>
              </w:rPr>
            </w:pPr>
            <w:r w:rsidRPr="005D12CB">
              <w:rPr>
                <w:b/>
              </w:rPr>
              <w:t>2021 р</w:t>
            </w:r>
          </w:p>
        </w:tc>
        <w:tc>
          <w:tcPr>
            <w:tcW w:w="1662" w:type="dxa"/>
            <w:tcBorders>
              <w:top w:val="single" w:sz="4" w:space="0" w:color="000000"/>
              <w:left w:val="single" w:sz="4" w:space="0" w:color="000000"/>
              <w:bottom w:val="single" w:sz="4" w:space="0" w:color="000000"/>
              <w:right w:val="single" w:sz="4" w:space="0" w:color="000000"/>
            </w:tcBorders>
            <w:vAlign w:val="center"/>
          </w:tcPr>
          <w:p w:rsidR="006C6DBE" w:rsidRPr="005D12CB" w:rsidRDefault="006C6DBE" w:rsidP="00794AE4">
            <w:pPr>
              <w:spacing w:after="0" w:line="240" w:lineRule="auto"/>
              <w:jc w:val="center"/>
            </w:pPr>
            <w:r w:rsidRPr="005D12CB">
              <w:rPr>
                <w:b/>
              </w:rPr>
              <w:t>Справедлива вартість,</w:t>
            </w:r>
          </w:p>
          <w:p w:rsidR="006C6DBE" w:rsidRPr="005D12CB" w:rsidRDefault="006C6DBE" w:rsidP="00794AE4">
            <w:pPr>
              <w:spacing w:after="0" w:line="240" w:lineRule="auto"/>
              <w:jc w:val="center"/>
            </w:pPr>
            <w:r w:rsidRPr="005D12CB">
              <w:rPr>
                <w:b/>
              </w:rPr>
              <w:t xml:space="preserve"> тис. грн </w:t>
            </w:r>
          </w:p>
        </w:tc>
      </w:tr>
      <w:tr w:rsidR="006C6DBE" w:rsidRPr="005D12CB" w:rsidTr="00794AE4">
        <w:trPr>
          <w:trHeight w:val="820"/>
        </w:trPr>
        <w:tc>
          <w:tcPr>
            <w:tcW w:w="1662" w:type="dxa"/>
            <w:tcBorders>
              <w:top w:val="nil"/>
              <w:left w:val="single" w:sz="4" w:space="0" w:color="000000"/>
              <w:bottom w:val="single" w:sz="4" w:space="0" w:color="000000"/>
              <w:right w:val="single" w:sz="4" w:space="0" w:color="000000"/>
            </w:tcBorders>
            <w:shd w:val="clear" w:color="auto" w:fill="FFFFFF"/>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Корпоративні права в ТОВ "Каметмаш"(32304719)</w:t>
            </w:r>
          </w:p>
        </w:tc>
        <w:tc>
          <w:tcPr>
            <w:tcW w:w="1662" w:type="dxa"/>
            <w:tcBorders>
              <w:top w:val="nil"/>
              <w:left w:val="nil"/>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w:t>
            </w:r>
          </w:p>
        </w:tc>
        <w:tc>
          <w:tcPr>
            <w:tcW w:w="1662" w:type="dxa"/>
            <w:tcBorders>
              <w:top w:val="nil"/>
              <w:left w:val="nil"/>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143</w:t>
            </w:r>
          </w:p>
        </w:tc>
        <w:tc>
          <w:tcPr>
            <w:tcW w:w="1662" w:type="dxa"/>
            <w:tcBorders>
              <w:top w:val="nil"/>
              <w:left w:val="nil"/>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143</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rsidR="006C6DBE" w:rsidRPr="005D12CB" w:rsidRDefault="006C6DBE" w:rsidP="00794AE4">
            <w:pPr>
              <w:spacing w:after="0" w:line="240" w:lineRule="auto"/>
              <w:rPr>
                <w:rFonts w:ascii="Times New Roman" w:hAnsi="Times New Roman" w:cs="Times New Roman"/>
                <w:sz w:val="24"/>
                <w:szCs w:val="24"/>
              </w:rPr>
            </w:pPr>
          </w:p>
        </w:tc>
      </w:tr>
      <w:tr w:rsidR="006C6DBE" w:rsidRPr="005D12CB" w:rsidTr="00794AE4">
        <w:trPr>
          <w:trHeight w:val="580"/>
        </w:trPr>
        <w:tc>
          <w:tcPr>
            <w:tcW w:w="1662" w:type="dxa"/>
            <w:tcBorders>
              <w:top w:val="nil"/>
              <w:left w:val="single" w:sz="4" w:space="0" w:color="000000"/>
              <w:bottom w:val="single" w:sz="4" w:space="0" w:color="000000"/>
              <w:right w:val="single" w:sz="4" w:space="0" w:color="000000"/>
            </w:tcBorders>
            <w:shd w:val="clear" w:color="auto" w:fill="FFFFFF"/>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Корпоративні права в ТОВ  «РДК» (34065060)</w:t>
            </w:r>
          </w:p>
        </w:tc>
        <w:tc>
          <w:tcPr>
            <w:tcW w:w="1662" w:type="dxa"/>
            <w:tcBorders>
              <w:top w:val="nil"/>
              <w:left w:val="nil"/>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w:t>
            </w:r>
          </w:p>
        </w:tc>
        <w:tc>
          <w:tcPr>
            <w:tcW w:w="1662" w:type="dxa"/>
            <w:tcBorders>
              <w:top w:val="nil"/>
              <w:left w:val="nil"/>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1 300</w:t>
            </w:r>
          </w:p>
        </w:tc>
        <w:tc>
          <w:tcPr>
            <w:tcW w:w="1662" w:type="dxa"/>
            <w:tcBorders>
              <w:top w:val="nil"/>
              <w:left w:val="nil"/>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1300</w:t>
            </w:r>
          </w:p>
        </w:tc>
        <w:tc>
          <w:tcPr>
            <w:tcW w:w="1662" w:type="dxa"/>
            <w:tcBorders>
              <w:top w:val="nil"/>
              <w:left w:val="nil"/>
              <w:bottom w:val="single" w:sz="4" w:space="0" w:color="000000"/>
              <w:right w:val="single" w:sz="4" w:space="0" w:color="000000"/>
            </w:tcBorders>
            <w:shd w:val="clear" w:color="auto" w:fill="FFFFFF"/>
          </w:tcPr>
          <w:p w:rsidR="006C6DBE" w:rsidRPr="005D12CB" w:rsidRDefault="006C6DBE" w:rsidP="00794AE4">
            <w:pPr>
              <w:spacing w:after="0" w:line="240" w:lineRule="auto"/>
              <w:rPr>
                <w:rFonts w:ascii="Times New Roman" w:hAnsi="Times New Roman" w:cs="Times New Roman"/>
                <w:sz w:val="24"/>
                <w:szCs w:val="24"/>
              </w:rPr>
            </w:pPr>
          </w:p>
        </w:tc>
      </w:tr>
      <w:tr w:rsidR="006C6DBE" w:rsidRPr="005D12CB" w:rsidTr="00794AE4">
        <w:trPr>
          <w:trHeight w:val="580"/>
        </w:trPr>
        <w:tc>
          <w:tcPr>
            <w:tcW w:w="1662" w:type="dxa"/>
            <w:tcBorders>
              <w:top w:val="nil"/>
              <w:left w:val="single" w:sz="4" w:space="0" w:color="000000"/>
              <w:bottom w:val="single" w:sz="4" w:space="0" w:color="000000"/>
              <w:right w:val="single" w:sz="4" w:space="0" w:color="000000"/>
            </w:tcBorders>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Корпоративні права в "Сінтез-Ойл) (35416011)</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57%</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 xml:space="preserve">9 249 </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 xml:space="preserve">9 249 </w:t>
            </w:r>
          </w:p>
        </w:tc>
        <w:tc>
          <w:tcPr>
            <w:tcW w:w="1662" w:type="dxa"/>
            <w:tcBorders>
              <w:top w:val="single" w:sz="4" w:space="0" w:color="000000"/>
              <w:left w:val="single" w:sz="4" w:space="0" w:color="000000"/>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r>
      <w:tr w:rsidR="006C6DBE" w:rsidRPr="005D12CB" w:rsidTr="00794AE4">
        <w:trPr>
          <w:trHeight w:val="412"/>
        </w:trPr>
        <w:tc>
          <w:tcPr>
            <w:tcW w:w="1662" w:type="dxa"/>
            <w:tcBorders>
              <w:top w:val="nil"/>
              <w:left w:val="single" w:sz="4" w:space="0" w:color="000000"/>
              <w:bottom w:val="single" w:sz="4" w:space="0" w:color="000000"/>
              <w:right w:val="single" w:sz="4" w:space="0" w:color="000000"/>
            </w:tcBorders>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lastRenderedPageBreak/>
              <w:t>Акції ПАТ "Ардер"</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8134</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10</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10</w:t>
            </w:r>
          </w:p>
        </w:tc>
        <w:tc>
          <w:tcPr>
            <w:tcW w:w="1662" w:type="dxa"/>
            <w:tcBorders>
              <w:top w:val="single" w:sz="4" w:space="0" w:color="000000"/>
              <w:left w:val="single" w:sz="4" w:space="0" w:color="000000"/>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r>
      <w:tr w:rsidR="006C6DBE" w:rsidRPr="005D12CB" w:rsidTr="00794AE4">
        <w:trPr>
          <w:trHeight w:val="852"/>
        </w:trPr>
        <w:tc>
          <w:tcPr>
            <w:tcW w:w="1662" w:type="dxa"/>
            <w:tcBorders>
              <w:top w:val="nil"/>
              <w:left w:val="single" w:sz="4" w:space="0" w:color="000000"/>
              <w:bottom w:val="single" w:sz="4" w:space="0" w:color="000000"/>
              <w:right w:val="single" w:sz="4" w:space="0" w:color="000000"/>
            </w:tcBorders>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Інівестиційні сертифікати ТОВ КУА"Холдінг Груп" (ЗНВПІФ"АВК") (UA4000052526)</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7 597</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 xml:space="preserve">7 597 </w:t>
            </w:r>
          </w:p>
        </w:tc>
        <w:tc>
          <w:tcPr>
            <w:tcW w:w="1662" w:type="dxa"/>
            <w:tcBorders>
              <w:top w:val="nil"/>
              <w:left w:val="nil"/>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 xml:space="preserve">7 597 </w:t>
            </w:r>
          </w:p>
        </w:tc>
        <w:tc>
          <w:tcPr>
            <w:tcW w:w="1662" w:type="dxa"/>
            <w:tcBorders>
              <w:top w:val="single" w:sz="4" w:space="0" w:color="000000"/>
              <w:left w:val="single" w:sz="4" w:space="0" w:color="000000"/>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r>
      <w:tr w:rsidR="006C6DBE" w:rsidRPr="005D12CB" w:rsidTr="00794AE4">
        <w:trPr>
          <w:trHeight w:val="480"/>
        </w:trPr>
        <w:tc>
          <w:tcPr>
            <w:tcW w:w="1662" w:type="dxa"/>
            <w:tcBorders>
              <w:top w:val="single" w:sz="8" w:space="0" w:color="000000"/>
              <w:left w:val="single" w:sz="4" w:space="0" w:color="000000"/>
              <w:bottom w:val="single" w:sz="8" w:space="0" w:color="000000"/>
              <w:right w:val="single" w:sz="4" w:space="0" w:color="000000"/>
            </w:tcBorders>
          </w:tcPr>
          <w:p w:rsidR="006C6DBE" w:rsidRPr="005D12CB" w:rsidRDefault="006C6DBE" w:rsidP="00794AE4">
            <w:pPr>
              <w:spacing w:after="0" w:line="240" w:lineRule="auto"/>
              <w:rPr>
                <w:sz w:val="24"/>
                <w:szCs w:val="24"/>
              </w:rPr>
            </w:pPr>
            <w:r w:rsidRPr="005D12CB">
              <w:rPr>
                <w:b/>
                <w:sz w:val="24"/>
                <w:szCs w:val="24"/>
              </w:rPr>
              <w:t>Всього</w:t>
            </w:r>
          </w:p>
        </w:tc>
        <w:tc>
          <w:tcPr>
            <w:tcW w:w="1662" w:type="dxa"/>
            <w:tcBorders>
              <w:top w:val="single" w:sz="8" w:space="0" w:color="000000"/>
              <w:left w:val="nil"/>
              <w:bottom w:val="single" w:sz="8" w:space="0" w:color="000000"/>
              <w:right w:val="single" w:sz="4" w:space="0" w:color="000000"/>
            </w:tcBorders>
          </w:tcPr>
          <w:p w:rsidR="006C6DBE" w:rsidRPr="005D12CB" w:rsidRDefault="006C6DBE" w:rsidP="00794AE4">
            <w:pPr>
              <w:spacing w:after="0" w:line="240" w:lineRule="auto"/>
              <w:jc w:val="center"/>
            </w:pPr>
            <w:r w:rsidRPr="005D12CB">
              <w:rPr>
                <w:b/>
              </w:rPr>
              <w:t> </w:t>
            </w:r>
          </w:p>
        </w:tc>
        <w:tc>
          <w:tcPr>
            <w:tcW w:w="1662" w:type="dxa"/>
            <w:tcBorders>
              <w:top w:val="single" w:sz="8" w:space="0" w:color="000000"/>
              <w:left w:val="nil"/>
              <w:bottom w:val="single" w:sz="8" w:space="0" w:color="000000"/>
              <w:right w:val="single" w:sz="4" w:space="0" w:color="000000"/>
            </w:tcBorders>
          </w:tcPr>
          <w:p w:rsidR="006C6DBE" w:rsidRPr="005D12CB" w:rsidRDefault="006C6DBE" w:rsidP="00794AE4">
            <w:pPr>
              <w:spacing w:after="0" w:line="240" w:lineRule="auto"/>
              <w:jc w:val="center"/>
              <w:rPr>
                <w:sz w:val="24"/>
                <w:szCs w:val="24"/>
              </w:rPr>
            </w:pPr>
            <w:r w:rsidRPr="005D12CB">
              <w:rPr>
                <w:b/>
                <w:sz w:val="24"/>
                <w:szCs w:val="24"/>
              </w:rPr>
              <w:t xml:space="preserve">18 299 </w:t>
            </w:r>
          </w:p>
        </w:tc>
        <w:tc>
          <w:tcPr>
            <w:tcW w:w="1662" w:type="dxa"/>
            <w:tcBorders>
              <w:top w:val="single" w:sz="8" w:space="0" w:color="000000"/>
              <w:left w:val="nil"/>
              <w:bottom w:val="single" w:sz="8" w:space="0" w:color="000000"/>
              <w:right w:val="single" w:sz="4" w:space="0" w:color="000000"/>
            </w:tcBorders>
          </w:tcPr>
          <w:p w:rsidR="006C6DBE" w:rsidRPr="005D12CB" w:rsidRDefault="006C6DBE" w:rsidP="00794AE4">
            <w:pPr>
              <w:spacing w:after="0" w:line="240" w:lineRule="auto"/>
              <w:jc w:val="center"/>
              <w:rPr>
                <w:sz w:val="24"/>
                <w:szCs w:val="24"/>
              </w:rPr>
            </w:pPr>
            <w:r w:rsidRPr="005D12CB">
              <w:rPr>
                <w:b/>
                <w:sz w:val="24"/>
                <w:szCs w:val="24"/>
              </w:rPr>
              <w:t xml:space="preserve">16 856 </w:t>
            </w:r>
          </w:p>
        </w:tc>
        <w:tc>
          <w:tcPr>
            <w:tcW w:w="1662" w:type="dxa"/>
            <w:tcBorders>
              <w:top w:val="single" w:sz="4" w:space="0" w:color="000000"/>
              <w:left w:val="nil"/>
              <w:bottom w:val="single" w:sz="8" w:space="0" w:color="000000"/>
              <w:right w:val="nil"/>
            </w:tcBorders>
          </w:tcPr>
          <w:p w:rsidR="006C6DBE" w:rsidRPr="005D12CB" w:rsidRDefault="006C6DBE" w:rsidP="00794AE4">
            <w:pPr>
              <w:spacing w:after="0" w:line="240" w:lineRule="auto"/>
              <w:jc w:val="center"/>
              <w:rPr>
                <w:b/>
                <w:sz w:val="24"/>
                <w:szCs w:val="24"/>
              </w:rPr>
            </w:pPr>
            <w:r w:rsidRPr="005D12CB">
              <w:rPr>
                <w:b/>
                <w:sz w:val="24"/>
                <w:szCs w:val="24"/>
              </w:rPr>
              <w:t>1 443</w:t>
            </w:r>
          </w:p>
        </w:tc>
        <w:tc>
          <w:tcPr>
            <w:tcW w:w="1662" w:type="dxa"/>
            <w:tcBorders>
              <w:top w:val="single" w:sz="8" w:space="0" w:color="000000"/>
              <w:left w:val="nil"/>
              <w:bottom w:val="single" w:sz="8" w:space="0" w:color="000000"/>
              <w:right w:val="single" w:sz="8" w:space="0" w:color="000000"/>
            </w:tcBorders>
          </w:tcPr>
          <w:p w:rsidR="006C6DBE" w:rsidRPr="005D12CB" w:rsidRDefault="006C6DBE" w:rsidP="00794AE4">
            <w:pPr>
              <w:spacing w:after="0" w:line="240" w:lineRule="auto"/>
              <w:rPr>
                <w:sz w:val="24"/>
                <w:szCs w:val="24"/>
              </w:rPr>
            </w:pPr>
          </w:p>
        </w:tc>
      </w:tr>
    </w:tbl>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станом на 31.12.2021 року переглянуло справедливу вартість довгострокових фінансових інвестицій в результаті чого ряд інвестицій було уцінено через сукупний прибуток (збиток), а саме: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1. Враховуючи той факт, що обіг  Інвестиційних сертифікатів іменних ТОВ КУА «Холдінг Груп» (ЗНВПІФ АВК) в кількості 7 597 шт. на суму 7 597 тис. грн, заблоковано, відповідно даний актив не можливо продати, обміняти  на звітну дату, отримати будь – яку економічну вигоду, Товариство оцінює , що справедлива вартість даного активу  становить 1 грн. Уцінка інвестиції станом на 31.12.2020 року склала 7 597 тис. грн. Станом на 31.12.2021 року підстав для зміни справедливої вартості відсутні.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2. Враховуючи, що емітент ТОВ «Синтез-Ойл», корпоративні права якого  обліковуються в складі фінансових інвестицій Товариства становлять 57 % на суму 9 249 тис. грн ,  знаходиться  в стадії банкрутства, відповідно даний актив не можливо продати, обміняти  на звітну дату, отримати будь – яку економічну вигоду. Також Товариство  на запит не отримало фінансову звітність емітента, а відтак не може оцінити фінансовий його стан та зробити оцінку вірогідної компенсації корпоративних прав. З врахуванням зазначених факторів Товариство прийняло рішення уцінити дану інвестицію   до  1 грн., уцінка станом на 31.12.2020 року становить 9 249 тис. грн. Станом на 31.12.2021 року підстав для зміни справедливої вартості відсутні.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3. Враховуючи той факт, що обіг  акцій простих іменних, ПАТ «Ардер» в кількості 8 134 шт. на суму 10 тис.грн., заблокований, відповідно даний актив не можливо продати, обміняти  на звітну дату, отримати будь –яку економічну вигоду, Товариство оцінює , що справедлива вартість даного активу  становить 1 грн. Уцінка даного активу  становить 10 тис. грн. Станом на 31.12.2021 року підстав для зміни справедливої вартості відсутні. </w:t>
      </w:r>
    </w:p>
    <w:p w:rsidR="006C6DBE" w:rsidRPr="005D12CB" w:rsidRDefault="006C6DBE" w:rsidP="006C6DBE">
      <w:pPr>
        <w:spacing w:after="0" w:line="240" w:lineRule="auto"/>
        <w:ind w:firstLine="708"/>
        <w:rPr>
          <w:rFonts w:ascii="Times New Roman" w:hAnsi="Times New Roman" w:cs="Times New Roman"/>
          <w:sz w:val="24"/>
          <w:szCs w:val="24"/>
        </w:rPr>
      </w:pPr>
      <w:r w:rsidRPr="005D12CB">
        <w:rPr>
          <w:rFonts w:ascii="Times New Roman" w:hAnsi="Times New Roman" w:cs="Times New Roman"/>
          <w:b/>
          <w:i/>
          <w:sz w:val="24"/>
          <w:szCs w:val="24"/>
        </w:rPr>
        <w:t>6.5. Запаси</w:t>
      </w:r>
    </w:p>
    <w:p w:rsidR="006C6DBE" w:rsidRPr="005D12CB" w:rsidRDefault="006C6DBE" w:rsidP="006C6DBE">
      <w:pPr>
        <w:spacing w:after="0" w:line="240" w:lineRule="auto"/>
        <w:rPr>
          <w:rFonts w:ascii="Times New Roman" w:hAnsi="Times New Roman" w:cs="Times New Roman"/>
          <w:sz w:val="24"/>
          <w:szCs w:val="24"/>
        </w:rPr>
      </w:pPr>
      <w:r w:rsidRPr="005D12CB">
        <w:rPr>
          <w:rFonts w:ascii="Times New Roman" w:hAnsi="Times New Roman" w:cs="Times New Roman"/>
          <w:b/>
          <w:i/>
          <w:sz w:val="24"/>
          <w:szCs w:val="24"/>
        </w:rPr>
        <w:t>Станом на 31.12.2021 запасі складають 134 тис.грн. в тому числі :</w:t>
      </w: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1841"/>
        <w:gridCol w:w="2039"/>
        <w:gridCol w:w="2039"/>
        <w:gridCol w:w="2039"/>
      </w:tblGrid>
      <w:tr w:rsidR="006C6DBE" w:rsidRPr="005D12CB" w:rsidTr="00794AE4">
        <w:tc>
          <w:tcPr>
            <w:tcW w:w="223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Вид запасу</w:t>
            </w:r>
          </w:p>
        </w:tc>
        <w:tc>
          <w:tcPr>
            <w:tcW w:w="1841"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2021,</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 xml:space="preserve"> тис. грн.</w:t>
            </w:r>
          </w:p>
        </w:tc>
        <w:tc>
          <w:tcPr>
            <w:tcW w:w="2039"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Використано в 2021,</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 xml:space="preserve"> тис. грн</w:t>
            </w:r>
          </w:p>
        </w:tc>
        <w:tc>
          <w:tcPr>
            <w:tcW w:w="2039"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2020,</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 xml:space="preserve"> тис. грн.</w:t>
            </w:r>
          </w:p>
        </w:tc>
        <w:tc>
          <w:tcPr>
            <w:tcW w:w="2039" w:type="dxa"/>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Використано в 2020,</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тис. грн</w:t>
            </w:r>
          </w:p>
        </w:tc>
      </w:tr>
      <w:tr w:rsidR="006C6DBE" w:rsidRPr="005D12CB" w:rsidTr="00794AE4">
        <w:tc>
          <w:tcPr>
            <w:tcW w:w="223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Сировина та матеріали</w:t>
            </w:r>
          </w:p>
        </w:tc>
        <w:tc>
          <w:tcPr>
            <w:tcW w:w="1841"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19</w:t>
            </w:r>
          </w:p>
          <w:p w:rsidR="006C6DBE" w:rsidRPr="005D12CB" w:rsidRDefault="006C6DBE" w:rsidP="00794AE4">
            <w:pPr>
              <w:spacing w:after="0" w:line="240" w:lineRule="auto"/>
              <w:jc w:val="center"/>
              <w:rPr>
                <w:rFonts w:ascii="Times New Roman" w:hAnsi="Times New Roman" w:cs="Times New Roman"/>
                <w:sz w:val="24"/>
                <w:szCs w:val="24"/>
              </w:rPr>
            </w:pPr>
          </w:p>
          <w:p w:rsidR="006C6DBE" w:rsidRPr="005D12CB" w:rsidRDefault="006C6DBE" w:rsidP="00794AE4">
            <w:pPr>
              <w:spacing w:after="0" w:line="240" w:lineRule="auto"/>
              <w:jc w:val="center"/>
              <w:rPr>
                <w:rFonts w:ascii="Times New Roman" w:hAnsi="Times New Roman" w:cs="Times New Roman"/>
                <w:sz w:val="24"/>
                <w:szCs w:val="24"/>
              </w:rPr>
            </w:pP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22</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994</w:t>
            </w:r>
          </w:p>
        </w:tc>
      </w:tr>
      <w:tr w:rsidR="006C6DBE" w:rsidRPr="005D12CB" w:rsidTr="00794AE4">
        <w:tc>
          <w:tcPr>
            <w:tcW w:w="223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Паливо</w:t>
            </w:r>
          </w:p>
        </w:tc>
        <w:tc>
          <w:tcPr>
            <w:tcW w:w="1841"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110</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115</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1143</w:t>
            </w:r>
          </w:p>
        </w:tc>
      </w:tr>
      <w:tr w:rsidR="006C6DBE" w:rsidRPr="005D12CB" w:rsidTr="00794AE4">
        <w:tc>
          <w:tcPr>
            <w:tcW w:w="223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Товари</w:t>
            </w:r>
          </w:p>
        </w:tc>
        <w:tc>
          <w:tcPr>
            <w:tcW w:w="1841"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w:t>
            </w:r>
          </w:p>
        </w:tc>
        <w:tc>
          <w:tcPr>
            <w:tcW w:w="2039"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32</w:t>
            </w:r>
          </w:p>
        </w:tc>
      </w:tr>
    </w:tbl>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Знецінення  запасів  станом на 31.12.2021  року не було.</w:t>
      </w:r>
    </w:p>
    <w:p w:rsidR="006C6DBE" w:rsidRPr="005D12CB" w:rsidRDefault="006C6DBE" w:rsidP="006C6DBE">
      <w:pPr>
        <w:spacing w:after="0" w:line="240" w:lineRule="auto"/>
        <w:jc w:val="both"/>
        <w:rPr>
          <w:rFonts w:ascii="Times New Roman" w:hAnsi="Times New Roman" w:cs="Times New Roman"/>
          <w:b/>
          <w:i/>
          <w:sz w:val="24"/>
          <w:szCs w:val="24"/>
        </w:rPr>
      </w:pPr>
      <w:r w:rsidRPr="005D12CB">
        <w:rPr>
          <w:rFonts w:ascii="Times New Roman" w:hAnsi="Times New Roman" w:cs="Times New Roman"/>
          <w:b/>
          <w:i/>
          <w:sz w:val="24"/>
          <w:szCs w:val="24"/>
        </w:rPr>
        <w:tab/>
      </w:r>
    </w:p>
    <w:p w:rsidR="006C6DBE" w:rsidRPr="005D12CB" w:rsidRDefault="006C6DBE" w:rsidP="006C6DBE">
      <w:pPr>
        <w:spacing w:after="0" w:line="240" w:lineRule="auto"/>
        <w:ind w:firstLine="708"/>
        <w:rPr>
          <w:b/>
          <w:i/>
          <w:sz w:val="24"/>
          <w:szCs w:val="24"/>
        </w:rPr>
      </w:pPr>
      <w:r w:rsidRPr="005D12CB">
        <w:rPr>
          <w:b/>
          <w:i/>
          <w:sz w:val="24"/>
          <w:szCs w:val="24"/>
        </w:rPr>
        <w:t>6.6 Витрати майбутніх періодів</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Станом на 31.12.2021інші оборотні активи складають 609 тис.грн. в тому числі :</w:t>
      </w:r>
    </w:p>
    <w:p w:rsidR="006C6DBE" w:rsidRPr="005D12CB" w:rsidRDefault="006C6DBE" w:rsidP="006C6DBE">
      <w:pPr>
        <w:spacing w:after="0" w:line="240" w:lineRule="auto"/>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8"/>
        <w:gridCol w:w="5475"/>
        <w:gridCol w:w="1986"/>
        <w:gridCol w:w="1984"/>
      </w:tblGrid>
      <w:tr w:rsidR="006C6DBE" w:rsidRPr="005D12CB" w:rsidTr="00794AE4">
        <w:trPr>
          <w:trHeight w:val="525"/>
        </w:trPr>
        <w:tc>
          <w:tcPr>
            <w:tcW w:w="728"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lastRenderedPageBreak/>
              <w:t>№ п/п</w:t>
            </w:r>
          </w:p>
        </w:tc>
        <w:tc>
          <w:tcPr>
            <w:tcW w:w="547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Види витрат майбутніх періодів</w:t>
            </w:r>
          </w:p>
        </w:tc>
        <w:tc>
          <w:tcPr>
            <w:tcW w:w="1986"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 xml:space="preserve">Станом на     </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31 грудня 2021</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тис. грн</w:t>
            </w:r>
          </w:p>
        </w:tc>
        <w:tc>
          <w:tcPr>
            <w:tcW w:w="1984"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2020,</w:t>
            </w:r>
          </w:p>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rPr>
              <w:t>тис. грн</w:t>
            </w:r>
          </w:p>
        </w:tc>
      </w:tr>
      <w:tr w:rsidR="006C6DBE" w:rsidRPr="005D12CB" w:rsidTr="00794AE4">
        <w:trPr>
          <w:trHeight w:val="65"/>
        </w:trPr>
        <w:tc>
          <w:tcPr>
            <w:tcW w:w="72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w:t>
            </w:r>
          </w:p>
        </w:tc>
        <w:tc>
          <w:tcPr>
            <w:tcW w:w="547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 xml:space="preserve">Страхування майна </w:t>
            </w:r>
          </w:p>
        </w:tc>
        <w:tc>
          <w:tcPr>
            <w:tcW w:w="1986"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170</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2 170</w:t>
            </w:r>
          </w:p>
        </w:tc>
      </w:tr>
      <w:tr w:rsidR="006C6DBE" w:rsidRPr="005D12CB" w:rsidTr="00794AE4">
        <w:trPr>
          <w:trHeight w:val="65"/>
        </w:trPr>
        <w:tc>
          <w:tcPr>
            <w:tcW w:w="72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w:t>
            </w:r>
          </w:p>
        </w:tc>
        <w:tc>
          <w:tcPr>
            <w:tcW w:w="547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 xml:space="preserve">Страхування майнової відповідальності </w:t>
            </w:r>
          </w:p>
        </w:tc>
        <w:tc>
          <w:tcPr>
            <w:tcW w:w="1986"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lang w:val="ru-RU"/>
              </w:rPr>
              <w:t>211</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1 250</w:t>
            </w:r>
          </w:p>
        </w:tc>
      </w:tr>
      <w:tr w:rsidR="006C6DBE" w:rsidRPr="005D12CB" w:rsidTr="00794AE4">
        <w:trPr>
          <w:trHeight w:val="65"/>
        </w:trPr>
        <w:tc>
          <w:tcPr>
            <w:tcW w:w="728"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w:t>
            </w:r>
          </w:p>
        </w:tc>
        <w:tc>
          <w:tcPr>
            <w:tcW w:w="547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 xml:space="preserve">Інше страхування, в тому числі автотранспорту </w:t>
            </w:r>
          </w:p>
        </w:tc>
        <w:tc>
          <w:tcPr>
            <w:tcW w:w="1986"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197</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270</w:t>
            </w:r>
          </w:p>
        </w:tc>
      </w:tr>
      <w:tr w:rsidR="006C6DBE" w:rsidRPr="005D12CB" w:rsidTr="00794AE4">
        <w:trPr>
          <w:trHeight w:val="65"/>
        </w:trPr>
        <w:tc>
          <w:tcPr>
            <w:tcW w:w="728" w:type="dxa"/>
          </w:tcPr>
          <w:p w:rsidR="006C6DBE" w:rsidRPr="005D12CB" w:rsidRDefault="006C6DBE" w:rsidP="00794AE4">
            <w:pPr>
              <w:spacing w:after="0" w:line="240" w:lineRule="auto"/>
              <w:jc w:val="center"/>
              <w:rPr>
                <w:rFonts w:ascii="Times New Roman" w:hAnsi="Times New Roman" w:cs="Times New Roman"/>
                <w:sz w:val="24"/>
                <w:szCs w:val="24"/>
                <w:lang w:val="ru-RU"/>
              </w:rPr>
            </w:pPr>
            <w:r w:rsidRPr="005D12CB">
              <w:rPr>
                <w:rFonts w:ascii="Times New Roman" w:hAnsi="Times New Roman" w:cs="Times New Roman"/>
                <w:sz w:val="24"/>
                <w:szCs w:val="24"/>
                <w:lang w:val="ru-RU"/>
              </w:rPr>
              <w:t>4</w:t>
            </w:r>
          </w:p>
        </w:tc>
        <w:tc>
          <w:tcPr>
            <w:tcW w:w="547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lang w:val="ru-RU"/>
              </w:rPr>
              <w:t>Інше</w:t>
            </w:r>
          </w:p>
        </w:tc>
        <w:tc>
          <w:tcPr>
            <w:tcW w:w="1986"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31</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w:t>
            </w:r>
          </w:p>
        </w:tc>
      </w:tr>
      <w:tr w:rsidR="006C6DBE" w:rsidRPr="005D12CB" w:rsidTr="00794AE4">
        <w:trPr>
          <w:trHeight w:val="65"/>
        </w:trPr>
        <w:tc>
          <w:tcPr>
            <w:tcW w:w="728" w:type="dxa"/>
          </w:tcPr>
          <w:p w:rsidR="006C6DBE" w:rsidRPr="005D12CB" w:rsidRDefault="006C6DBE" w:rsidP="00794AE4">
            <w:pPr>
              <w:spacing w:after="0" w:line="240" w:lineRule="auto"/>
              <w:jc w:val="center"/>
              <w:rPr>
                <w:rFonts w:ascii="Times New Roman" w:hAnsi="Times New Roman" w:cs="Times New Roman"/>
                <w:sz w:val="24"/>
                <w:szCs w:val="24"/>
              </w:rPr>
            </w:pPr>
          </w:p>
        </w:tc>
        <w:tc>
          <w:tcPr>
            <w:tcW w:w="5475"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Всього :</w:t>
            </w:r>
          </w:p>
        </w:tc>
        <w:tc>
          <w:tcPr>
            <w:tcW w:w="1986" w:type="dxa"/>
            <w:vAlign w:val="center"/>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609</w:t>
            </w:r>
          </w:p>
        </w:tc>
        <w:tc>
          <w:tcPr>
            <w:tcW w:w="1984" w:type="dxa"/>
            <w:vAlign w:val="center"/>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3 690</w:t>
            </w:r>
          </w:p>
        </w:tc>
      </w:tr>
    </w:tbl>
    <w:p w:rsidR="006C6DBE" w:rsidRPr="005D12CB" w:rsidRDefault="006C6DBE" w:rsidP="006C6DBE">
      <w:pPr>
        <w:spacing w:after="0" w:line="240" w:lineRule="auto"/>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Витрати майбутніх періодів відображені в балансі в  інших оборотних активах.</w:t>
      </w:r>
    </w:p>
    <w:p w:rsidR="006C6DBE" w:rsidRPr="005D12CB" w:rsidRDefault="006C6DBE" w:rsidP="006C6DBE">
      <w:pPr>
        <w:spacing w:after="0" w:line="240" w:lineRule="auto"/>
        <w:ind w:firstLine="708"/>
        <w:jc w:val="both"/>
        <w:rPr>
          <w:rFonts w:ascii="Times New Roman" w:hAnsi="Times New Roman" w:cs="Times New Roman"/>
          <w:i/>
          <w:sz w:val="24"/>
          <w:szCs w:val="24"/>
        </w:rPr>
      </w:pPr>
    </w:p>
    <w:p w:rsidR="006C6DBE" w:rsidRPr="005D12CB" w:rsidRDefault="006C6DBE" w:rsidP="006C6DBE">
      <w:pPr>
        <w:spacing w:after="0" w:line="240" w:lineRule="auto"/>
        <w:ind w:firstLine="708"/>
        <w:jc w:val="both"/>
        <w:rPr>
          <w:rFonts w:ascii="Times New Roman" w:hAnsi="Times New Roman" w:cs="Times New Roman"/>
          <w:i/>
          <w:sz w:val="24"/>
          <w:szCs w:val="24"/>
        </w:rPr>
      </w:pPr>
      <w:r w:rsidRPr="005D12CB">
        <w:rPr>
          <w:rFonts w:ascii="Times New Roman" w:hAnsi="Times New Roman" w:cs="Times New Roman"/>
          <w:b/>
          <w:i/>
          <w:sz w:val="24"/>
          <w:szCs w:val="24"/>
        </w:rPr>
        <w:t>6.7. Короткострокова дебіторська заборгованість</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32"/>
        <w:gridCol w:w="1985"/>
        <w:gridCol w:w="1984"/>
      </w:tblGrid>
      <w:tr w:rsidR="006C6DBE" w:rsidRPr="005D12CB" w:rsidTr="00794AE4">
        <w:trPr>
          <w:trHeight w:val="294"/>
        </w:trPr>
        <w:tc>
          <w:tcPr>
            <w:tcW w:w="6232"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Найменування</w:t>
            </w:r>
          </w:p>
        </w:tc>
        <w:tc>
          <w:tcPr>
            <w:tcW w:w="1985"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 xml:space="preserve">Станом на     </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31 грудня 2021</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тис. грн</w:t>
            </w:r>
          </w:p>
        </w:tc>
        <w:tc>
          <w:tcPr>
            <w:tcW w:w="1984"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2020,</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тис. грн</w:t>
            </w:r>
          </w:p>
        </w:tc>
      </w:tr>
      <w:tr w:rsidR="006C6DBE" w:rsidRPr="005D12CB" w:rsidTr="00794AE4">
        <w:tc>
          <w:tcPr>
            <w:tcW w:w="6232"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Дебіторська заборгованість за товари, послуги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2 002</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1 564</w:t>
            </w:r>
          </w:p>
        </w:tc>
      </w:tr>
      <w:tr w:rsidR="006C6DBE" w:rsidRPr="005D12CB" w:rsidTr="00794AE4">
        <w:trPr>
          <w:trHeight w:val="238"/>
        </w:trPr>
        <w:tc>
          <w:tcPr>
            <w:tcW w:w="6232"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Дебіторська заборгованність з бюджетом</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1 125</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102</w:t>
            </w:r>
          </w:p>
        </w:tc>
      </w:tr>
      <w:tr w:rsidR="006C6DBE" w:rsidRPr="005D12CB" w:rsidTr="00794AE4">
        <w:trPr>
          <w:trHeight w:val="238"/>
        </w:trPr>
        <w:tc>
          <w:tcPr>
            <w:tcW w:w="6232"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Дебіторська заборгованність за розрахунками з нарахованих доходів</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188</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715</w:t>
            </w:r>
          </w:p>
        </w:tc>
      </w:tr>
      <w:tr w:rsidR="006C6DBE" w:rsidRPr="005D12CB" w:rsidTr="00794AE4">
        <w:trPr>
          <w:trHeight w:val="238"/>
        </w:trPr>
        <w:tc>
          <w:tcPr>
            <w:tcW w:w="6232"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Інша поточна дебіторська заборгованість</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1 518</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1 425</w:t>
            </w:r>
          </w:p>
        </w:tc>
      </w:tr>
      <w:tr w:rsidR="006C6DBE" w:rsidRPr="005D12CB" w:rsidTr="00794AE4">
        <w:trPr>
          <w:trHeight w:val="238"/>
        </w:trPr>
        <w:tc>
          <w:tcPr>
            <w:tcW w:w="6232"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Всього</w:t>
            </w:r>
          </w:p>
        </w:tc>
        <w:tc>
          <w:tcPr>
            <w:tcW w:w="1985" w:type="dxa"/>
            <w:vAlign w:val="center"/>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4 833</w:t>
            </w:r>
          </w:p>
        </w:tc>
        <w:tc>
          <w:tcPr>
            <w:tcW w:w="1984" w:type="dxa"/>
            <w:vAlign w:val="center"/>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3 806</w:t>
            </w:r>
          </w:p>
        </w:tc>
      </w:tr>
    </w:tbl>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Станом на 31 грудня 2021 року Товариство не має простроченої дебіторської заборгованості. </w:t>
      </w:r>
    </w:p>
    <w:p w:rsidR="006C6DBE" w:rsidRPr="005D12CB" w:rsidRDefault="006C6DBE" w:rsidP="006C6DBE">
      <w:pPr>
        <w:spacing w:after="0" w:line="240" w:lineRule="auto"/>
        <w:ind w:firstLine="708"/>
        <w:rPr>
          <w:rFonts w:ascii="Times New Roman" w:hAnsi="Times New Roman" w:cs="Times New Roman"/>
          <w:sz w:val="24"/>
          <w:szCs w:val="24"/>
        </w:rPr>
      </w:pPr>
      <w:r w:rsidRPr="005D12CB">
        <w:rPr>
          <w:rFonts w:ascii="Times New Roman" w:hAnsi="Times New Roman" w:cs="Times New Roman"/>
          <w:b/>
          <w:i/>
          <w:sz w:val="24"/>
          <w:szCs w:val="24"/>
        </w:rPr>
        <w:t>6.8. Грошові кошти та їх еквіваленти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32"/>
        <w:gridCol w:w="1985"/>
        <w:gridCol w:w="1984"/>
      </w:tblGrid>
      <w:tr w:rsidR="006C6DBE" w:rsidRPr="005D12CB" w:rsidTr="00794AE4">
        <w:tc>
          <w:tcPr>
            <w:tcW w:w="6232"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Розрахункові рахунки в банках</w:t>
            </w:r>
          </w:p>
        </w:tc>
        <w:tc>
          <w:tcPr>
            <w:tcW w:w="1985"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 xml:space="preserve">Станом на                             31 грудня 2021 р. </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тис. грн</w:t>
            </w:r>
          </w:p>
        </w:tc>
        <w:tc>
          <w:tcPr>
            <w:tcW w:w="1984"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2020 р.</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тис. грн</w:t>
            </w:r>
          </w:p>
        </w:tc>
      </w:tr>
      <w:tr w:rsidR="006C6DBE" w:rsidRPr="005D12CB" w:rsidTr="00794AE4">
        <w:trPr>
          <w:trHeight w:val="392"/>
        </w:trPr>
        <w:tc>
          <w:tcPr>
            <w:tcW w:w="623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Поточний рахунок в  національній валюті</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2 463</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3 366</w:t>
            </w:r>
          </w:p>
        </w:tc>
      </w:tr>
      <w:tr w:rsidR="006C6DBE" w:rsidRPr="005D12CB" w:rsidTr="00794AE4">
        <w:trPr>
          <w:trHeight w:val="392"/>
        </w:trPr>
        <w:tc>
          <w:tcPr>
            <w:tcW w:w="623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Депозити на рахунках вітчизняних банків</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9 005</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14 005</w:t>
            </w:r>
          </w:p>
        </w:tc>
      </w:tr>
      <w:tr w:rsidR="006C6DBE" w:rsidRPr="005D12CB" w:rsidTr="00794AE4">
        <w:trPr>
          <w:trHeight w:val="392"/>
        </w:trPr>
        <w:tc>
          <w:tcPr>
            <w:tcW w:w="623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b/>
                <w:sz w:val="24"/>
                <w:szCs w:val="24"/>
              </w:rPr>
              <w:t xml:space="preserve">Всього </w:t>
            </w:r>
          </w:p>
        </w:tc>
        <w:tc>
          <w:tcPr>
            <w:tcW w:w="1985" w:type="dxa"/>
            <w:vAlign w:val="center"/>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11 468</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17 371</w:t>
            </w:r>
          </w:p>
        </w:tc>
      </w:tr>
    </w:tbl>
    <w:p w:rsidR="006C6DBE" w:rsidRPr="005D12CB" w:rsidRDefault="006C6DBE" w:rsidP="006C6DBE">
      <w:pPr>
        <w:spacing w:after="0" w:line="240" w:lineRule="auto"/>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Станом на 31.12.2021 року  на розрахункових рахунках Товариства обліковуються грошові кошти в сумі 2 463 тис. грн. Основна сума  знаходиться  на рахунку ПАТ "УНІВЕРСАЛ БАНК"в сумі 2 335 тис. грн.</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Грошові кошти на депозитах на звітну дату становлять 9 005 тис. грн. В звітності дані депозити відображені в поточних фінансових інвестиціях.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Депозити розміщені в гривні в ПАТ "УНІВЕРСАЛ БАНК" в сумі 9 005 тис. грн. Термін розміщення депозитів в ПАТ "УНІВЕРСАЛ БАНК" до 10.01.2022 року  під 9,25 % річних в сумі 6 000 тис. грн., до 19.01.2022 року  під 9,25 % річних в сумі 3 000 тис. грн., до 02.06.2022 року  під 9,5 % річних в сумі 5 тис. грн.</w:t>
      </w:r>
    </w:p>
    <w:p w:rsidR="006C6DBE" w:rsidRPr="005D12CB" w:rsidRDefault="006C6DBE" w:rsidP="006C6DBE">
      <w:pPr>
        <w:spacing w:after="0" w:line="240" w:lineRule="auto"/>
        <w:jc w:val="both"/>
        <w:rPr>
          <w:rFonts w:ascii="Times New Roman" w:hAnsi="Times New Roman" w:cs="Times New Roman"/>
          <w:sz w:val="24"/>
          <w:szCs w:val="24"/>
        </w:rPr>
      </w:pPr>
    </w:p>
    <w:p w:rsidR="006C6DBE" w:rsidRPr="005D12CB" w:rsidRDefault="006C6DBE" w:rsidP="006C6DBE">
      <w:pPr>
        <w:spacing w:after="0" w:line="240" w:lineRule="auto"/>
        <w:ind w:left="708"/>
        <w:jc w:val="both"/>
        <w:rPr>
          <w:rFonts w:ascii="Times New Roman" w:hAnsi="Times New Roman" w:cs="Times New Roman"/>
          <w:sz w:val="24"/>
          <w:szCs w:val="24"/>
        </w:rPr>
      </w:pPr>
      <w:r w:rsidRPr="005D12CB">
        <w:rPr>
          <w:rFonts w:ascii="Times New Roman" w:hAnsi="Times New Roman" w:cs="Times New Roman"/>
          <w:b/>
          <w:i/>
          <w:sz w:val="24"/>
          <w:szCs w:val="24"/>
        </w:rPr>
        <w:t>6.9. Поточні зобов’язання та забезпечення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6"/>
        <w:gridCol w:w="1984"/>
        <w:gridCol w:w="1985"/>
      </w:tblGrid>
      <w:tr w:rsidR="006C6DBE" w:rsidRPr="005D12CB" w:rsidTr="00794AE4">
        <w:tc>
          <w:tcPr>
            <w:tcW w:w="6096"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Найменування</w:t>
            </w:r>
          </w:p>
        </w:tc>
        <w:tc>
          <w:tcPr>
            <w:tcW w:w="1984"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 xml:space="preserve">Станом на                             31 грудня 2021 р. </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тис. грн</w:t>
            </w:r>
          </w:p>
        </w:tc>
        <w:tc>
          <w:tcPr>
            <w:tcW w:w="1985" w:type="dxa"/>
            <w:vAlign w:val="center"/>
          </w:tcPr>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Станом на                            31 грудня 2020 р.</w:t>
            </w:r>
          </w:p>
          <w:p w:rsidR="006C6DBE" w:rsidRPr="005D12CB" w:rsidRDefault="006C6DBE" w:rsidP="00794AE4">
            <w:pPr>
              <w:spacing w:after="0" w:line="240" w:lineRule="auto"/>
              <w:jc w:val="center"/>
              <w:rPr>
                <w:rFonts w:ascii="Times New Roman" w:hAnsi="Times New Roman" w:cs="Times New Roman"/>
              </w:rPr>
            </w:pPr>
            <w:r w:rsidRPr="005D12CB">
              <w:rPr>
                <w:rFonts w:ascii="Times New Roman" w:hAnsi="Times New Roman" w:cs="Times New Roman"/>
                <w:b/>
              </w:rPr>
              <w:t>тис. грн</w:t>
            </w:r>
          </w:p>
        </w:tc>
      </w:tr>
      <w:tr w:rsidR="006C6DBE" w:rsidRPr="005D12CB" w:rsidTr="00794AE4">
        <w:trPr>
          <w:trHeight w:val="400"/>
        </w:trPr>
        <w:tc>
          <w:tcPr>
            <w:tcW w:w="6096" w:type="dxa"/>
            <w:vAlign w:val="center"/>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Поточна заборгованість за товари, роботи, послуги та за отриманими авансами</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90</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48</w:t>
            </w:r>
          </w:p>
        </w:tc>
      </w:tr>
      <w:tr w:rsidR="006C6DBE" w:rsidRPr="005D12CB" w:rsidTr="00794AE4">
        <w:trPr>
          <w:trHeight w:val="403"/>
        </w:trPr>
        <w:tc>
          <w:tcPr>
            <w:tcW w:w="6096" w:type="dxa"/>
            <w:vAlign w:val="center"/>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Інша поточні зобов’язання</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292</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6 526</w:t>
            </w:r>
          </w:p>
        </w:tc>
      </w:tr>
      <w:tr w:rsidR="006C6DBE" w:rsidRPr="005D12CB" w:rsidTr="00794AE4">
        <w:trPr>
          <w:trHeight w:val="419"/>
        </w:trPr>
        <w:tc>
          <w:tcPr>
            <w:tcW w:w="6096" w:type="dxa"/>
            <w:vAlign w:val="center"/>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Поточна заборгованість за розрахунками з оплати праці</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8</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27</w:t>
            </w:r>
          </w:p>
        </w:tc>
      </w:tr>
      <w:tr w:rsidR="006C6DBE" w:rsidRPr="005D12CB" w:rsidTr="00794AE4">
        <w:trPr>
          <w:trHeight w:val="414"/>
        </w:trPr>
        <w:tc>
          <w:tcPr>
            <w:tcW w:w="6096" w:type="dxa"/>
            <w:vAlign w:val="center"/>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lastRenderedPageBreak/>
              <w:t>Поточна заборгованість за розрахунками з бюджетом та зі страхування</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640</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932</w:t>
            </w:r>
          </w:p>
        </w:tc>
      </w:tr>
      <w:tr w:rsidR="006C6DBE" w:rsidRPr="005D12CB" w:rsidTr="00794AE4">
        <w:trPr>
          <w:trHeight w:val="405"/>
        </w:trPr>
        <w:tc>
          <w:tcPr>
            <w:tcW w:w="6096" w:type="dxa"/>
            <w:vAlign w:val="center"/>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Поточна заборгованність по розрахункам з учасниками</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74</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116</w:t>
            </w:r>
          </w:p>
        </w:tc>
      </w:tr>
      <w:tr w:rsidR="006C6DBE" w:rsidRPr="005D12CB" w:rsidTr="00794AE4">
        <w:trPr>
          <w:trHeight w:val="414"/>
        </w:trPr>
        <w:tc>
          <w:tcPr>
            <w:tcW w:w="6096" w:type="dxa"/>
            <w:vAlign w:val="center"/>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Поточні забезпечення</w:t>
            </w:r>
          </w:p>
        </w:tc>
        <w:tc>
          <w:tcPr>
            <w:tcW w:w="1984"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222</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155</w:t>
            </w:r>
          </w:p>
        </w:tc>
      </w:tr>
    </w:tbl>
    <w:p w:rsidR="006C6DBE" w:rsidRPr="005D12CB" w:rsidRDefault="006C6DBE" w:rsidP="006C6DBE">
      <w:pPr>
        <w:spacing w:after="0" w:line="240" w:lineRule="auto"/>
        <w:ind w:firstLine="708"/>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Станом на 31 грудня 2021 року інші поточні зобов’язання Товариства становили                         292 тис. грн., в тому числі 236 тиc. грн податковий кредит</w:t>
      </w:r>
      <w:r w:rsidRPr="005D12CB">
        <w:rPr>
          <w:rFonts w:ascii="Times New Roman" w:hAnsi="Times New Roman" w:cs="Times New Roman"/>
          <w:sz w:val="24"/>
          <w:szCs w:val="24"/>
          <w:lang w:val="ru-RU"/>
        </w:rPr>
        <w:t xml:space="preserve"> по передплатам</w:t>
      </w:r>
      <w:r w:rsidRPr="005D12CB">
        <w:rPr>
          <w:rFonts w:ascii="Times New Roman" w:hAnsi="Times New Roman" w:cs="Times New Roman"/>
          <w:sz w:val="24"/>
          <w:szCs w:val="24"/>
        </w:rPr>
        <w:t xml:space="preserve">. Поточні забезпечення складаються з нарахованих забезпечень під виплату компенсацій за невикористану відпустку. Товариство не має простроченої кредиторської заборгованість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 xml:space="preserve">6.10. Власний  капітал. </w:t>
      </w:r>
    </w:p>
    <w:p w:rsidR="006C6DBE" w:rsidRPr="005D12CB" w:rsidRDefault="006C6DBE" w:rsidP="006C6DBE">
      <w:pPr>
        <w:spacing w:after="0" w:line="240" w:lineRule="auto"/>
        <w:jc w:val="both"/>
        <w:rPr>
          <w:sz w:val="24"/>
          <w:szCs w:val="24"/>
        </w:rPr>
      </w:pPr>
      <w:r w:rsidRPr="005D12CB">
        <w:rPr>
          <w:rFonts w:ascii="Times New Roman" w:hAnsi="Times New Roman" w:cs="Times New Roman"/>
          <w:sz w:val="24"/>
          <w:szCs w:val="24"/>
        </w:rPr>
        <w:t>Станом на 31.12.2021р. Зареєстрований капітал складається</w:t>
      </w:r>
      <w:r w:rsidRPr="005D12CB">
        <w:rPr>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20"/>
        <w:gridCol w:w="2126"/>
        <w:gridCol w:w="1985"/>
      </w:tblGrid>
      <w:tr w:rsidR="006C6DBE" w:rsidRPr="005D12CB" w:rsidTr="00794AE4">
        <w:tc>
          <w:tcPr>
            <w:tcW w:w="5920"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Зареєстрований (Статутний) капітал</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3"/>
                <w:szCs w:val="23"/>
              </w:rPr>
              <w:t>% володіння</w:t>
            </w:r>
          </w:p>
        </w:tc>
        <w:tc>
          <w:tcPr>
            <w:tcW w:w="198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3"/>
                <w:szCs w:val="23"/>
              </w:rPr>
              <w:t>Сума, тис. грн</w:t>
            </w:r>
          </w:p>
        </w:tc>
      </w:tr>
      <w:tr w:rsidR="006C6DBE" w:rsidRPr="005D12CB" w:rsidTr="00794AE4">
        <w:tc>
          <w:tcPr>
            <w:tcW w:w="5920"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Юридична особа («AVRYS LIMITED», Кіпр НЕ 227883, кінцевий бенефіціар Туржанская Наталія Іванівна (іден. Код. 2117713625)</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3"/>
                <w:szCs w:val="23"/>
              </w:rPr>
              <w:t>75,2466%</w:t>
            </w:r>
          </w:p>
        </w:tc>
        <w:tc>
          <w:tcPr>
            <w:tcW w:w="198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3"/>
                <w:szCs w:val="23"/>
              </w:rPr>
              <w:t>16 554</w:t>
            </w:r>
          </w:p>
        </w:tc>
      </w:tr>
      <w:tr w:rsidR="006C6DBE" w:rsidRPr="005D12CB" w:rsidTr="00794AE4">
        <w:tc>
          <w:tcPr>
            <w:tcW w:w="5920"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Юридична особа (ТОВ «КУА «Патріот»), кінцевий бенефіціар Туржанская Наталія Іванівна (іден. Код. 2117713625)</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3"/>
                <w:szCs w:val="23"/>
              </w:rPr>
              <w:t>23,95 %</w:t>
            </w:r>
          </w:p>
        </w:tc>
        <w:tc>
          <w:tcPr>
            <w:tcW w:w="198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3"/>
                <w:szCs w:val="23"/>
              </w:rPr>
              <w:t>5 269</w:t>
            </w:r>
          </w:p>
        </w:tc>
      </w:tr>
      <w:tr w:rsidR="006C6DBE" w:rsidRPr="005D12CB" w:rsidTr="00794AE4">
        <w:trPr>
          <w:trHeight w:val="148"/>
        </w:trPr>
        <w:tc>
          <w:tcPr>
            <w:tcW w:w="5920" w:type="dxa"/>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Фізичні особи ( 207 акціонерів)</w:t>
            </w:r>
          </w:p>
        </w:tc>
        <w:tc>
          <w:tcPr>
            <w:tcW w:w="2126"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3"/>
                <w:szCs w:val="23"/>
              </w:rPr>
              <w:t>0,8034%</w:t>
            </w:r>
          </w:p>
        </w:tc>
        <w:tc>
          <w:tcPr>
            <w:tcW w:w="1985"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3"/>
                <w:szCs w:val="23"/>
              </w:rPr>
              <w:t>177</w:t>
            </w:r>
          </w:p>
        </w:tc>
      </w:tr>
      <w:tr w:rsidR="006C6DBE" w:rsidRPr="005D12CB" w:rsidTr="00794AE4">
        <w:tc>
          <w:tcPr>
            <w:tcW w:w="5920"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b/>
                <w:sz w:val="24"/>
                <w:szCs w:val="24"/>
              </w:rPr>
              <w:t>Всього:</w:t>
            </w:r>
          </w:p>
        </w:tc>
        <w:tc>
          <w:tcPr>
            <w:tcW w:w="2126"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100</w:t>
            </w:r>
          </w:p>
        </w:tc>
        <w:tc>
          <w:tcPr>
            <w:tcW w:w="1985" w:type="dxa"/>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3"/>
                <w:szCs w:val="23"/>
              </w:rPr>
              <w:t>22 000</w:t>
            </w:r>
          </w:p>
        </w:tc>
      </w:tr>
    </w:tbl>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Станом на 31.12.2021р. розмір статутного капіталу складає 22 000 тис. грн., що відповідає зареєстрованим установчим документам, та сплачений повністю. Статутний капітал поділено на 88000 штук простих іменних акцій номінальною вартістю 250 грн. на суму 22 000 тис.грн., про що видане свідоцтво про реєстрацію випуску акцій за № 02/10/1/10 від 28.01.2010р.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lang w:val="ru-RU"/>
        </w:rPr>
        <w:t>Додатково</w:t>
      </w:r>
      <w:r w:rsidRPr="005D12CB">
        <w:rPr>
          <w:rFonts w:ascii="Times New Roman" w:hAnsi="Times New Roman" w:cs="Times New Roman"/>
          <w:sz w:val="24"/>
          <w:szCs w:val="24"/>
        </w:rPr>
        <w:t>ї</w:t>
      </w:r>
      <w:r w:rsidRPr="005D12CB">
        <w:rPr>
          <w:rFonts w:ascii="Times New Roman" w:hAnsi="Times New Roman" w:cs="Times New Roman"/>
          <w:sz w:val="24"/>
          <w:szCs w:val="24"/>
          <w:lang w:val="ru-RU"/>
        </w:rPr>
        <w:t xml:space="preserve"> е</w:t>
      </w:r>
      <w:r w:rsidRPr="005D12CB">
        <w:rPr>
          <w:rFonts w:ascii="Times New Roman" w:hAnsi="Times New Roman" w:cs="Times New Roman"/>
          <w:sz w:val="24"/>
          <w:szCs w:val="24"/>
        </w:rPr>
        <w:t>місії акцій в 2021 році не було.</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Викупу власних акцій в 2021 році не було.</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i/>
          <w:sz w:val="24"/>
          <w:szCs w:val="24"/>
        </w:rPr>
        <w:t xml:space="preserve">Нерозподілений прибуток станом на 31.12.2021р. складає  83 656 тис.грн.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Нерозподілений прибуток за 2021 рік  складається з прибутку від господарської діяльності в сумі -3 217тис. грн.</w:t>
      </w:r>
    </w:p>
    <w:p w:rsidR="006C6DBE" w:rsidRPr="005D12CB" w:rsidRDefault="006C6DBE" w:rsidP="006C6DBE">
      <w:pPr>
        <w:spacing w:after="0" w:line="240" w:lineRule="auto"/>
        <w:jc w:val="both"/>
      </w:pPr>
      <w:r w:rsidRPr="005D12CB">
        <w:rPr>
          <w:rFonts w:ascii="Times New Roman" w:hAnsi="Times New Roman" w:cs="Times New Roman"/>
          <w:i/>
          <w:sz w:val="24"/>
          <w:szCs w:val="24"/>
        </w:rPr>
        <w:t>Виправлення помилок:</w:t>
      </w:r>
      <w:r w:rsidRPr="005D12CB">
        <w:rPr>
          <w:rFonts w:ascii="Times New Roman" w:hAnsi="Times New Roman" w:cs="Times New Roman"/>
          <w:sz w:val="24"/>
          <w:szCs w:val="24"/>
        </w:rPr>
        <w:t xml:space="preserve"> в 2021 році відсутні виправлення помилок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i/>
          <w:sz w:val="24"/>
          <w:szCs w:val="24"/>
        </w:rPr>
        <w:t xml:space="preserve">Дивіденди </w:t>
      </w:r>
      <w:r w:rsidRPr="005D12CB">
        <w:rPr>
          <w:rFonts w:ascii="Times New Roman" w:hAnsi="Times New Roman" w:cs="Times New Roman"/>
          <w:sz w:val="24"/>
          <w:szCs w:val="24"/>
        </w:rPr>
        <w:t xml:space="preserve">: В 2020 році Загальними зборами Товариства, згідно протоколу 36 від 20.11.2020 року було прийнято рішення  про розподіл нерозподіленого прибутку за період 2012 -2019 роки  в вигляді виплати дивідендів на суму 15 400 тис. грн. Виплата дивідендів відбулася в грудні 2020 року та  42 тис. грн в січні 2021 року. </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b/>
          <w:i/>
          <w:sz w:val="24"/>
          <w:szCs w:val="24"/>
        </w:rPr>
        <w:t>Сума власного капіталу більша, ніж сума статутного капіталу, що задовольняє вимогам законодавства.</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6.11. Виручка від реалізації</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У 2021 році Основний дохід від надання в оренду нежитлових приміщень склав 44 744 тис. грн. з врахуванням ПДВ- 7 457 тис. грн Чистий дохід склав - 37 287 тис. грн.</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За 2020 році Основний дохід від надання в оренду нежитлових приміщень склав  - 45 212 тис. грн. з врахуванням ПДВ- 7 535 тис. грн Чистий дохід склав - 37 677 тис. грн. </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6.12. Собівартість реалізації</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Собівартість  послуг за надання в оренду нежитлових приміщень  за 2021 рік склала 33 653 тис. грн. , за 2020 рік склала – 28 527 тис. грн. </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sz w:val="24"/>
          <w:szCs w:val="24"/>
        </w:rPr>
        <w:t xml:space="preserve">Структура собівартості  наданих послуг від </w:t>
      </w:r>
      <w:r w:rsidRPr="005D12CB">
        <w:rPr>
          <w:rFonts w:ascii="Times New Roman" w:hAnsi="Times New Roman" w:cs="Times New Roman"/>
          <w:sz w:val="24"/>
          <w:szCs w:val="24"/>
        </w:rPr>
        <w:t>оренди нежитлових приміщень :</w:t>
      </w:r>
    </w:p>
    <w:p w:rsidR="006C6DBE" w:rsidRPr="005D12CB" w:rsidRDefault="006C6DBE" w:rsidP="006C6DBE">
      <w:pPr>
        <w:spacing w:after="0" w:line="240" w:lineRule="auto"/>
        <w:ind w:firstLine="708"/>
        <w:jc w:val="both"/>
        <w:rPr>
          <w:rFonts w:ascii="Times New Roman" w:hAnsi="Times New Roman" w:cs="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1985"/>
        <w:gridCol w:w="1701"/>
      </w:tblGrid>
      <w:tr w:rsidR="006C6DBE" w:rsidRPr="005D12CB" w:rsidTr="00794AE4">
        <w:trPr>
          <w:trHeight w:val="437"/>
        </w:trPr>
        <w:tc>
          <w:tcPr>
            <w:tcW w:w="6912"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lastRenderedPageBreak/>
              <w:t>Перелік витрат по статтям</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за 2021 рік</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за 2020 рік</w:t>
            </w:r>
          </w:p>
        </w:tc>
      </w:tr>
      <w:tr w:rsidR="006C6DBE" w:rsidRPr="005D12CB" w:rsidTr="00794AE4">
        <w:trPr>
          <w:trHeight w:val="387"/>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Оплата праці та нарахування на неї</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6 848</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6 474</w:t>
            </w:r>
          </w:p>
        </w:tc>
      </w:tr>
      <w:tr w:rsidR="006C6DBE" w:rsidRPr="005D12CB" w:rsidTr="00794AE4">
        <w:trPr>
          <w:trHeight w:val="433"/>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Газопостачання</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3 838</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1 137</w:t>
            </w:r>
          </w:p>
        </w:tc>
      </w:tr>
      <w:tr w:rsidR="006C6DBE" w:rsidRPr="005D12CB" w:rsidTr="00794AE4">
        <w:trPr>
          <w:trHeight w:val="433"/>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Охоронні послуги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3 811</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2 232</w:t>
            </w:r>
          </w:p>
        </w:tc>
      </w:tr>
      <w:tr w:rsidR="006C6DBE" w:rsidRPr="005D12CB" w:rsidTr="00794AE4">
        <w:trPr>
          <w:trHeight w:val="433"/>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 xml:space="preserve">Оренда земельної ділянки та податок на нерухоме майно </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5 224</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4 425</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Амортизація основних засобів</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444</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421</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Витрати на ремонти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1 450</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1 037</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Страхування</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5 983</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6 850</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Інші витрати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6 055</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5 951</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b/>
                <w:sz w:val="24"/>
                <w:szCs w:val="24"/>
              </w:rPr>
              <w:t>Всього витрат</w:t>
            </w:r>
          </w:p>
        </w:tc>
        <w:tc>
          <w:tcPr>
            <w:tcW w:w="1985" w:type="dxa"/>
            <w:vAlign w:val="center"/>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33 653</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28 527</w:t>
            </w:r>
          </w:p>
        </w:tc>
      </w:tr>
    </w:tbl>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sz w:val="6"/>
          <w:szCs w:val="6"/>
        </w:rPr>
      </w:pPr>
    </w:p>
    <w:p w:rsidR="006C6DBE" w:rsidRPr="005D12CB" w:rsidRDefault="006C6DBE" w:rsidP="006C6DBE">
      <w:pPr>
        <w:spacing w:after="0" w:line="240" w:lineRule="auto"/>
        <w:ind w:firstLine="708"/>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6.13. Адміністративні витрати та інші витрати операційної діяльності</w:t>
      </w:r>
    </w:p>
    <w:p w:rsidR="006C6DBE" w:rsidRPr="005D12CB" w:rsidRDefault="006C6DBE" w:rsidP="006C6DBE">
      <w:pPr>
        <w:spacing w:after="0" w:line="240" w:lineRule="auto"/>
        <w:ind w:firstLine="708"/>
        <w:jc w:val="both"/>
        <w:rPr>
          <w:rFonts w:ascii="Times New Roman" w:hAnsi="Times New Roman" w:cs="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1985"/>
        <w:gridCol w:w="1701"/>
      </w:tblGrid>
      <w:tr w:rsidR="006C6DBE" w:rsidRPr="005D12CB" w:rsidTr="00794AE4">
        <w:trPr>
          <w:trHeight w:val="437"/>
        </w:trPr>
        <w:tc>
          <w:tcPr>
            <w:tcW w:w="6912"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Перелік витрат по статтям</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за 2021 рік</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за 2020 рік</w:t>
            </w:r>
          </w:p>
        </w:tc>
      </w:tr>
      <w:tr w:rsidR="006C6DBE" w:rsidRPr="005D12CB" w:rsidTr="00794AE4">
        <w:trPr>
          <w:trHeight w:val="387"/>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Оплата праці та нарахування на неї</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3 751</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4 900</w:t>
            </w:r>
          </w:p>
        </w:tc>
      </w:tr>
      <w:tr w:rsidR="006C6DBE" w:rsidRPr="005D12CB" w:rsidTr="00794AE4">
        <w:trPr>
          <w:trHeight w:val="433"/>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Страхування</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296</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233</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Амортизація основних засобів</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91</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164</w:t>
            </w:r>
          </w:p>
        </w:tc>
      </w:tr>
      <w:tr w:rsidR="006C6DBE" w:rsidRPr="005D12CB" w:rsidTr="00794AE4">
        <w:trPr>
          <w:trHeight w:val="255"/>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Витрати на ремонти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96</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122</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Паливо мастильні матеріали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609</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478</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Інші витрати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973</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481</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b/>
                <w:sz w:val="24"/>
                <w:szCs w:val="24"/>
              </w:rPr>
              <w:t>Всього адміністративних витрат</w:t>
            </w:r>
          </w:p>
        </w:tc>
        <w:tc>
          <w:tcPr>
            <w:tcW w:w="1985" w:type="dxa"/>
            <w:vAlign w:val="center"/>
          </w:tcPr>
          <w:p w:rsidR="006C6DBE" w:rsidRPr="005D12CB" w:rsidRDefault="006C6DBE" w:rsidP="00794AE4">
            <w:pPr>
              <w:spacing w:after="0" w:line="240" w:lineRule="auto"/>
              <w:jc w:val="center"/>
              <w:rPr>
                <w:rFonts w:ascii="Times New Roman" w:hAnsi="Times New Roman" w:cs="Times New Roman"/>
                <w:b/>
                <w:sz w:val="24"/>
                <w:szCs w:val="24"/>
              </w:rPr>
            </w:pPr>
            <w:r w:rsidRPr="005D12CB">
              <w:rPr>
                <w:rFonts w:ascii="Times New Roman" w:hAnsi="Times New Roman" w:cs="Times New Roman"/>
                <w:b/>
                <w:sz w:val="24"/>
                <w:szCs w:val="24"/>
              </w:rPr>
              <w:t>5 816</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6 378</w:t>
            </w:r>
          </w:p>
        </w:tc>
      </w:tr>
      <w:tr w:rsidR="006C6DBE" w:rsidRPr="005D12CB" w:rsidTr="00794AE4">
        <w:trPr>
          <w:trHeight w:val="188"/>
        </w:trPr>
        <w:tc>
          <w:tcPr>
            <w:tcW w:w="6912"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 xml:space="preserve"> Інші операційні витрати</w:t>
            </w:r>
          </w:p>
        </w:tc>
        <w:tc>
          <w:tcPr>
            <w:tcW w:w="1985"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3 632</w:t>
            </w:r>
          </w:p>
        </w:tc>
        <w:tc>
          <w:tcPr>
            <w:tcW w:w="1701"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1 419</w:t>
            </w:r>
          </w:p>
        </w:tc>
      </w:tr>
    </w:tbl>
    <w:p w:rsidR="006C6DBE" w:rsidRPr="005D12CB" w:rsidRDefault="006C6DBE" w:rsidP="006C6DBE">
      <w:pPr>
        <w:shd w:val="clear" w:color="auto" w:fill="FFFFFF"/>
        <w:spacing w:after="0" w:line="240" w:lineRule="auto"/>
        <w:ind w:firstLine="720"/>
        <w:jc w:val="both"/>
        <w:rPr>
          <w:rFonts w:ascii="Times New Roman" w:hAnsi="Times New Roman" w:cs="Times New Roman"/>
          <w:sz w:val="24"/>
          <w:szCs w:val="24"/>
        </w:rPr>
      </w:pPr>
      <w:bookmarkStart w:id="1" w:name="_heading=h.3znysh7" w:colFirst="0" w:colLast="0"/>
      <w:bookmarkEnd w:id="1"/>
    </w:p>
    <w:p w:rsidR="006C6DBE" w:rsidRPr="005D12CB" w:rsidRDefault="006C6DBE" w:rsidP="006C6DBE">
      <w:pPr>
        <w:shd w:val="clear" w:color="auto" w:fill="FFFFFF"/>
        <w:spacing w:after="0" w:line="240" w:lineRule="auto"/>
        <w:ind w:firstLine="720"/>
        <w:jc w:val="both"/>
        <w:rPr>
          <w:rFonts w:ascii="Times New Roman" w:hAnsi="Times New Roman" w:cs="Times New Roman"/>
          <w:sz w:val="24"/>
          <w:szCs w:val="24"/>
        </w:rPr>
      </w:pPr>
      <w:r w:rsidRPr="005D12CB">
        <w:rPr>
          <w:rFonts w:ascii="Times New Roman" w:hAnsi="Times New Roman" w:cs="Times New Roman"/>
          <w:sz w:val="24"/>
          <w:szCs w:val="24"/>
        </w:rPr>
        <w:t>В 15.04.2021 року Товариство уклало договір страхування з ПрАТ «СК «КАПIТАЛ-СТРАХУВАННЯ»  майна і сплатило авансові платежі на суму 3 069 тис. грн. Станом на 28 травня 2021 року ПрАТ «СК «КАПIТАЛ СТРАХУВАННЯ» було виключено з реєстру фiнансових установ та анульовано лiцензiю, що на нашу думку  унеможливлює виконання зобов’язань перед ПрАТ «КАМЕТ» враховуючи те, що початком дii договорiв страхування  було 02 липня 2021 року. Товариство зверталось до страхової компанії, щодо повернення авансових платежів , з врахуванням умов, неможливості страховою компанією виконати свої забов’язання, але авансовий платіж не було повернено. В грудні 2021 року з’явилась інформація  в відкритих джерелах щодо прийняття рішення ПрАТ «СК «КАПIТАЛ-СТРАХУВАННЯ» припинити діяльність і ліквідувати компанію. Станом на 31.12.2021 року ПрАТ «СК «КАПIТАЛ-СТРАХУВАННЯ» в стадії припинення. Виходячи з викладено вище, Товариство списало  перераховану суму авансу на інші витрати Товариства в сумі 3 069 тис. грн.</w:t>
      </w:r>
    </w:p>
    <w:p w:rsidR="006C6DBE" w:rsidRPr="005D12CB" w:rsidRDefault="006C6DBE" w:rsidP="006C6DBE">
      <w:pPr>
        <w:shd w:val="clear" w:color="auto" w:fill="FFFFFF"/>
        <w:spacing w:after="0" w:line="240" w:lineRule="auto"/>
        <w:ind w:firstLine="720"/>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6.14 Інші операційні доходи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Інші операційні доходи складаються з відшкодування витрат опалення та електромереж сторонніми користувачами, а також від надання автотранспорту в оренду стороннім контрагентам.</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6.15. Інші фінансові доходи та інші фінансові витрати</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 За 2021 рік фінансові доходи  становили 1 162тис. грн , за 2020 рік - 2 874 тис. грн., та складаються з отриманих відсотків по депозитах. </w:t>
      </w:r>
    </w:p>
    <w:p w:rsidR="006C6DBE" w:rsidRPr="005D12CB" w:rsidRDefault="006C6DBE" w:rsidP="006C6DBE">
      <w:pPr>
        <w:spacing w:after="0" w:line="240" w:lineRule="auto"/>
        <w:ind w:firstLine="709"/>
        <w:jc w:val="both"/>
        <w:rPr>
          <w:rFonts w:ascii="Times New Roman" w:hAnsi="Times New Roman" w:cs="Times New Roman"/>
          <w:sz w:val="10"/>
          <w:szCs w:val="10"/>
        </w:rPr>
      </w:pPr>
    </w:p>
    <w:p w:rsidR="006C6DBE" w:rsidRPr="005D12CB" w:rsidRDefault="006C6DBE" w:rsidP="006C6DBE">
      <w:pPr>
        <w:spacing w:after="0" w:line="240" w:lineRule="auto"/>
        <w:ind w:firstLine="709"/>
        <w:jc w:val="both"/>
        <w:rPr>
          <w:rFonts w:ascii="Times New Roman" w:hAnsi="Times New Roman" w:cs="Times New Roman"/>
          <w:sz w:val="10"/>
          <w:szCs w:val="10"/>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6.16. Податок на прибуток</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сплачує податки в Україні. У 2021 і 2020 роках податок на прибуток підприємств в Україні стягувався із оподатковуваного прибутку, за вирахуванням звільнених від оподаткування витрат, за ставкою у розмірі 18%.</w:t>
      </w:r>
    </w:p>
    <w:p w:rsidR="006C6DBE" w:rsidRPr="005D12CB" w:rsidRDefault="006C6DBE" w:rsidP="006C6DBE">
      <w:pPr>
        <w:spacing w:after="0" w:line="240" w:lineRule="auto"/>
        <w:jc w:val="both"/>
        <w:rPr>
          <w:rFonts w:ascii="Times New Roman" w:hAnsi="Times New Roman" w:cs="Times New Roman"/>
          <w:sz w:val="2"/>
          <w:szCs w:val="2"/>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83"/>
        <w:gridCol w:w="2870"/>
        <w:gridCol w:w="2510"/>
      </w:tblGrid>
      <w:tr w:rsidR="006C6DBE" w:rsidRPr="005D12CB" w:rsidTr="00794AE4">
        <w:tc>
          <w:tcPr>
            <w:tcW w:w="4083" w:type="dxa"/>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Найменування</w:t>
            </w:r>
          </w:p>
        </w:tc>
        <w:tc>
          <w:tcPr>
            <w:tcW w:w="287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за 2021 рік</w:t>
            </w:r>
          </w:p>
        </w:tc>
        <w:tc>
          <w:tcPr>
            <w:tcW w:w="251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за 2020 рік</w:t>
            </w:r>
          </w:p>
        </w:tc>
      </w:tr>
      <w:tr w:rsidR="006C6DBE" w:rsidRPr="005D12CB" w:rsidTr="00794AE4">
        <w:trPr>
          <w:trHeight w:val="302"/>
        </w:trPr>
        <w:tc>
          <w:tcPr>
            <w:tcW w:w="4083"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Податок на прибуток</w:t>
            </w:r>
          </w:p>
        </w:tc>
        <w:tc>
          <w:tcPr>
            <w:tcW w:w="287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17</w:t>
            </w:r>
          </w:p>
        </w:tc>
        <w:tc>
          <w:tcPr>
            <w:tcW w:w="251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(1 158)</w:t>
            </w:r>
          </w:p>
        </w:tc>
      </w:tr>
      <w:tr w:rsidR="006C6DBE" w:rsidRPr="005D12CB" w:rsidTr="00794AE4">
        <w:trPr>
          <w:trHeight w:val="264"/>
        </w:trPr>
        <w:tc>
          <w:tcPr>
            <w:tcW w:w="4083"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sz w:val="24"/>
                <w:szCs w:val="24"/>
              </w:rPr>
              <w:t>Відкладений податок на прибуток</w:t>
            </w:r>
          </w:p>
        </w:tc>
        <w:tc>
          <w:tcPr>
            <w:tcW w:w="287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3 034</w:t>
            </w:r>
          </w:p>
        </w:tc>
        <w:tc>
          <w:tcPr>
            <w:tcW w:w="251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sz w:val="24"/>
                <w:szCs w:val="24"/>
              </w:rPr>
              <w:t>3 034</w:t>
            </w:r>
          </w:p>
        </w:tc>
      </w:tr>
      <w:tr w:rsidR="006C6DBE" w:rsidRPr="005D12CB" w:rsidTr="00794AE4">
        <w:tc>
          <w:tcPr>
            <w:tcW w:w="4083" w:type="dxa"/>
            <w:vAlign w:val="center"/>
          </w:tcPr>
          <w:p w:rsidR="006C6DBE" w:rsidRPr="005D12CB" w:rsidRDefault="006C6DBE" w:rsidP="00794AE4">
            <w:pPr>
              <w:spacing w:after="0" w:line="240" w:lineRule="auto"/>
              <w:rPr>
                <w:rFonts w:ascii="Times New Roman" w:hAnsi="Times New Roman" w:cs="Times New Roman"/>
                <w:sz w:val="24"/>
                <w:szCs w:val="24"/>
              </w:rPr>
            </w:pPr>
            <w:r w:rsidRPr="005D12CB">
              <w:rPr>
                <w:rFonts w:ascii="Times New Roman" w:hAnsi="Times New Roman" w:cs="Times New Roman"/>
                <w:b/>
                <w:sz w:val="24"/>
                <w:szCs w:val="24"/>
              </w:rPr>
              <w:t>Всього</w:t>
            </w:r>
          </w:p>
        </w:tc>
        <w:tc>
          <w:tcPr>
            <w:tcW w:w="287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 xml:space="preserve"> 3 053</w:t>
            </w:r>
          </w:p>
        </w:tc>
        <w:tc>
          <w:tcPr>
            <w:tcW w:w="2510" w:type="dxa"/>
            <w:vAlign w:val="center"/>
          </w:tcPr>
          <w:p w:rsidR="006C6DBE" w:rsidRPr="005D12CB" w:rsidRDefault="006C6DBE" w:rsidP="00794AE4">
            <w:pPr>
              <w:spacing w:after="0" w:line="240" w:lineRule="auto"/>
              <w:jc w:val="center"/>
              <w:rPr>
                <w:rFonts w:ascii="Times New Roman" w:hAnsi="Times New Roman" w:cs="Times New Roman"/>
                <w:sz w:val="24"/>
                <w:szCs w:val="24"/>
              </w:rPr>
            </w:pPr>
            <w:r w:rsidRPr="005D12CB">
              <w:rPr>
                <w:rFonts w:ascii="Times New Roman" w:hAnsi="Times New Roman" w:cs="Times New Roman"/>
                <w:b/>
                <w:sz w:val="24"/>
                <w:szCs w:val="24"/>
              </w:rPr>
              <w:t>1 876</w:t>
            </w:r>
          </w:p>
        </w:tc>
      </w:tr>
    </w:tbl>
    <w:p w:rsidR="006C6DBE" w:rsidRPr="005D12CB" w:rsidRDefault="006C6DBE" w:rsidP="006C6DBE">
      <w:pPr>
        <w:spacing w:after="0" w:line="240" w:lineRule="auto"/>
        <w:ind w:firstLine="709"/>
        <w:jc w:val="both"/>
        <w:rPr>
          <w:rFonts w:ascii="Times New Roman" w:hAnsi="Times New Roman" w:cs="Times New Roman"/>
          <w:sz w:val="24"/>
          <w:szCs w:val="24"/>
        </w:rPr>
      </w:pPr>
      <w:r w:rsidRPr="005D12CB">
        <w:rPr>
          <w:rFonts w:ascii="Times New Roman" w:hAnsi="Times New Roman" w:cs="Times New Roman"/>
          <w:sz w:val="24"/>
          <w:szCs w:val="24"/>
        </w:rPr>
        <w:t xml:space="preserve">Нарахований податок на прибуток за 2021 рік, згідно декларації по прибутку склав 17 тис. грн. Відкладений податковий актив, нарахований на суму уцінки довгострокових фінансових інвестицій складає 3 034 тис. грн. </w:t>
      </w:r>
    </w:p>
    <w:p w:rsidR="006C6DBE" w:rsidRPr="005D12CB" w:rsidRDefault="006C6DBE" w:rsidP="006C6DBE">
      <w:pPr>
        <w:spacing w:after="0" w:line="240" w:lineRule="auto"/>
        <w:ind w:firstLine="709"/>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08"/>
        <w:jc w:val="both"/>
        <w:rPr>
          <w:rFonts w:ascii="Times New Roman" w:hAnsi="Times New Roman" w:cs="Times New Roman"/>
          <w:sz w:val="26"/>
          <w:szCs w:val="26"/>
        </w:rPr>
      </w:pPr>
      <w:r w:rsidRPr="005D12CB">
        <w:rPr>
          <w:rFonts w:ascii="Times New Roman" w:hAnsi="Times New Roman" w:cs="Times New Roman"/>
          <w:b/>
          <w:sz w:val="26"/>
          <w:szCs w:val="26"/>
        </w:rPr>
        <w:t>7. Розкриття іншої інформації</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b/>
          <w:i/>
          <w:sz w:val="24"/>
          <w:szCs w:val="24"/>
        </w:rPr>
        <w:t>7.1. Розкриття інформації про пов’язані сторони</w:t>
      </w:r>
    </w:p>
    <w:p w:rsidR="006C6DBE" w:rsidRPr="005D12CB" w:rsidRDefault="006C6DBE" w:rsidP="006C6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ab/>
        <w:t>З метою даної фінансової звітності, сторони вважаються пов'язаними, якщо одна з них має можливість контролювати або значно впливати на фінансові й операційні рішення іншої сторони, як визначено в МСФО (IAS) 24 «Розкриття інформації про зв'язані сторони». При вирішенні питання про те, чи є сторони пов'язаними, приймається в увагу зміст взаємин сторін, а не тільки їхня юридична форма. Для цілей даних фінансових звітів Компанія, власники Компанії, що володіють частками в статутному капіталі більшими ніж 20%, та вище, керівництво Компанії вважаються пов'язаними сторонами.</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ab/>
        <w:t>До пов'язаних сторін або операцій з пов'язаними сторонами належать:</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t>підприємства, які прямо або опосередковано контролюють або перебувають під контролем, або ж перебувають під спільним контролем разом з Товариством;</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t>асоційовані компанії;</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t>спільні підприємства, у яких Товариство є контролюючим учасником;</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t>члени провідного управлінського персоналу Товариства;</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t>близькі родичі особи, зазначеної вище;</w:t>
      </w:r>
    </w:p>
    <w:p w:rsidR="006C6DBE" w:rsidRPr="005D12CB" w:rsidRDefault="006C6DBE" w:rsidP="006C6DBE">
      <w:pPr>
        <w:widowControl w:val="0"/>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t>компанії, що контролюють Товариство, або здійснюють суттєвий вплив, або мають суттєвий відсоток голосів у Товариства;</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w:t>
      </w:r>
      <w:r w:rsidRPr="005D12CB">
        <w:rPr>
          <w:rFonts w:ascii="Times New Roman" w:hAnsi="Times New Roman" w:cs="Times New Roman"/>
          <w:sz w:val="24"/>
          <w:szCs w:val="24"/>
        </w:rPr>
        <w:tab/>
        <w:t>програми виплат по закінченні трудової діяльності працівників Товариства або будь-якого іншого суб'єкта господарювання, який є пов'язаною стороною Компанії.</w:t>
      </w:r>
    </w:p>
    <w:p w:rsidR="006C6DBE" w:rsidRPr="005D12CB" w:rsidRDefault="006C6DBE" w:rsidP="006C6DBE">
      <w:pPr>
        <w:spacing w:after="0" w:line="240" w:lineRule="auto"/>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b/>
          <w:sz w:val="24"/>
          <w:szCs w:val="24"/>
        </w:rPr>
      </w:pPr>
      <w:r w:rsidRPr="005D12CB">
        <w:rPr>
          <w:rFonts w:ascii="Times New Roman" w:hAnsi="Times New Roman" w:cs="Times New Roman"/>
          <w:b/>
          <w:sz w:val="24"/>
          <w:szCs w:val="24"/>
        </w:rPr>
        <w:t>Інформація, щодо пов’язаних осіб станом на 31. грудня 2021 року.</w:t>
      </w:r>
    </w:p>
    <w:p w:rsidR="006C6DBE" w:rsidRPr="005D12CB" w:rsidRDefault="006C6DBE" w:rsidP="006C6DBE">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6095"/>
      </w:tblGrid>
      <w:tr w:rsidR="006C6DBE" w:rsidRPr="005D12CB" w:rsidTr="00794AE4">
        <w:trPr>
          <w:trHeight w:val="429"/>
        </w:trPr>
        <w:tc>
          <w:tcPr>
            <w:tcW w:w="675" w:type="dxa"/>
          </w:tcPr>
          <w:p w:rsidR="006C6DBE" w:rsidRPr="006C6DBE" w:rsidRDefault="006C6DBE" w:rsidP="00794AE4">
            <w:pPr>
              <w:spacing w:after="0" w:line="240" w:lineRule="auto"/>
              <w:ind w:right="119"/>
              <w:jc w:val="center"/>
              <w:rPr>
                <w:rFonts w:ascii="Times New Roman" w:hAnsi="Times New Roman" w:cs="Times New Roman"/>
                <w:b/>
                <w:sz w:val="24"/>
                <w:szCs w:val="24"/>
              </w:rPr>
            </w:pPr>
            <w:r w:rsidRPr="006C6DBE">
              <w:rPr>
                <w:rFonts w:ascii="Times New Roman" w:hAnsi="Times New Roman" w:cs="Times New Roman"/>
                <w:b/>
                <w:sz w:val="24"/>
                <w:szCs w:val="24"/>
              </w:rPr>
              <w:t>№ п/п</w:t>
            </w:r>
          </w:p>
        </w:tc>
        <w:tc>
          <w:tcPr>
            <w:tcW w:w="3119" w:type="dxa"/>
            <w:vAlign w:val="center"/>
          </w:tcPr>
          <w:p w:rsidR="006C6DBE" w:rsidRPr="006C6DBE" w:rsidRDefault="006C6DBE" w:rsidP="00794AE4">
            <w:pPr>
              <w:spacing w:after="0" w:line="240" w:lineRule="auto"/>
              <w:ind w:right="119"/>
              <w:jc w:val="center"/>
              <w:rPr>
                <w:rFonts w:ascii="Times New Roman" w:hAnsi="Times New Roman" w:cs="Times New Roman"/>
                <w:b/>
                <w:sz w:val="24"/>
                <w:szCs w:val="24"/>
              </w:rPr>
            </w:pPr>
            <w:r w:rsidRPr="006C6DBE">
              <w:rPr>
                <w:rFonts w:ascii="Times New Roman" w:hAnsi="Times New Roman" w:cs="Times New Roman"/>
                <w:b/>
                <w:sz w:val="24"/>
                <w:szCs w:val="24"/>
              </w:rPr>
              <w:t>Тип пов'язаної сторони</w:t>
            </w:r>
          </w:p>
        </w:tc>
        <w:tc>
          <w:tcPr>
            <w:tcW w:w="6095" w:type="dxa"/>
            <w:vAlign w:val="center"/>
          </w:tcPr>
          <w:p w:rsidR="006C6DBE" w:rsidRPr="006C6DBE" w:rsidRDefault="006C6DBE" w:rsidP="00794AE4">
            <w:pPr>
              <w:spacing w:after="0" w:line="240" w:lineRule="auto"/>
              <w:ind w:right="119"/>
              <w:jc w:val="center"/>
              <w:rPr>
                <w:rFonts w:ascii="Times New Roman" w:hAnsi="Times New Roman" w:cs="Times New Roman"/>
                <w:b/>
                <w:sz w:val="24"/>
                <w:szCs w:val="24"/>
              </w:rPr>
            </w:pPr>
            <w:r w:rsidRPr="006C6DBE">
              <w:rPr>
                <w:rFonts w:ascii="Times New Roman" w:hAnsi="Times New Roman" w:cs="Times New Roman"/>
                <w:b/>
                <w:sz w:val="24"/>
                <w:szCs w:val="24"/>
                <w:lang w:eastAsia="en-US"/>
              </w:rPr>
              <w:t>Найменування, ПІБ</w:t>
            </w:r>
          </w:p>
        </w:tc>
      </w:tr>
      <w:tr w:rsidR="006C6DBE" w:rsidRPr="005D12CB" w:rsidTr="00794AE4">
        <w:trPr>
          <w:trHeight w:val="577"/>
        </w:trPr>
        <w:tc>
          <w:tcPr>
            <w:tcW w:w="675" w:type="dxa"/>
            <w:vMerge w:val="restart"/>
          </w:tcPr>
          <w:p w:rsidR="006C6DBE" w:rsidRPr="006C6DBE" w:rsidRDefault="006C6DBE" w:rsidP="00794AE4">
            <w:pPr>
              <w:spacing w:after="0" w:line="240" w:lineRule="auto"/>
              <w:ind w:right="119"/>
              <w:jc w:val="center"/>
              <w:rPr>
                <w:rFonts w:ascii="Times New Roman" w:hAnsi="Times New Roman" w:cs="Times New Roman"/>
                <w:sz w:val="24"/>
                <w:szCs w:val="24"/>
              </w:rPr>
            </w:pPr>
            <w:r w:rsidRPr="006C6DBE">
              <w:rPr>
                <w:rFonts w:ascii="Times New Roman" w:hAnsi="Times New Roman" w:cs="Times New Roman"/>
                <w:sz w:val="24"/>
                <w:szCs w:val="24"/>
              </w:rPr>
              <w:t>1</w:t>
            </w:r>
          </w:p>
        </w:tc>
        <w:tc>
          <w:tcPr>
            <w:tcW w:w="3119" w:type="dxa"/>
            <w:vMerge w:val="restart"/>
          </w:tcPr>
          <w:p w:rsidR="006C6DBE" w:rsidRPr="006C6DBE" w:rsidRDefault="006C6DBE" w:rsidP="00794AE4">
            <w:pPr>
              <w:spacing w:after="0" w:line="240" w:lineRule="auto"/>
              <w:ind w:right="20"/>
              <w:rPr>
                <w:rFonts w:ascii="Times New Roman" w:hAnsi="Times New Roman" w:cs="Times New Roman"/>
                <w:sz w:val="24"/>
                <w:szCs w:val="24"/>
              </w:rPr>
            </w:pPr>
            <w:r w:rsidRPr="006C6DBE">
              <w:rPr>
                <w:rFonts w:ascii="Times New Roman" w:hAnsi="Times New Roman" w:cs="Times New Roman"/>
                <w:sz w:val="24"/>
                <w:szCs w:val="24"/>
              </w:rPr>
              <w:t xml:space="preserve">Учасники Товариства та їх частки </w:t>
            </w:r>
          </w:p>
        </w:tc>
        <w:tc>
          <w:tcPr>
            <w:tcW w:w="6095" w:type="dxa"/>
            <w:vAlign w:val="center"/>
          </w:tcPr>
          <w:p w:rsidR="006C6DBE" w:rsidRPr="006C6DBE" w:rsidRDefault="006C6DBE" w:rsidP="00794AE4">
            <w:pPr>
              <w:widowControl w:val="0"/>
              <w:spacing w:after="0" w:line="240" w:lineRule="auto"/>
              <w:jc w:val="both"/>
              <w:rPr>
                <w:rFonts w:ascii="Times New Roman" w:hAnsi="Times New Roman" w:cs="Times New Roman"/>
                <w:sz w:val="24"/>
                <w:szCs w:val="24"/>
              </w:rPr>
            </w:pPr>
            <w:r w:rsidRPr="006C6DBE">
              <w:rPr>
                <w:rFonts w:ascii="Times New Roman" w:hAnsi="Times New Roman" w:cs="Times New Roman"/>
                <w:sz w:val="24"/>
                <w:szCs w:val="24"/>
              </w:rPr>
              <w:t>«AVRYSLIMITED», Кіпр НЕ 227883, кінцевий бенефіціарТуржанская Наталія Іванівна- 75,2466%</w:t>
            </w:r>
            <w:r w:rsidRPr="006C6DBE">
              <w:rPr>
                <w:rFonts w:ascii="Times New Roman" w:hAnsi="Times New Roman" w:cs="Times New Roman"/>
                <w:sz w:val="24"/>
                <w:szCs w:val="24"/>
              </w:rPr>
              <w:br/>
            </w:r>
          </w:p>
        </w:tc>
      </w:tr>
      <w:tr w:rsidR="006C6DBE" w:rsidRPr="005D12CB" w:rsidTr="00794AE4">
        <w:trPr>
          <w:trHeight w:val="331"/>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rPr>
            </w:pPr>
          </w:p>
        </w:tc>
        <w:tc>
          <w:tcPr>
            <w:tcW w:w="3119" w:type="dxa"/>
            <w:vMerge/>
          </w:tcPr>
          <w:p w:rsidR="006C6DBE" w:rsidRPr="006C6DBE" w:rsidRDefault="006C6DBE" w:rsidP="00794AE4">
            <w:pPr>
              <w:spacing w:after="0" w:line="240" w:lineRule="auto"/>
              <w:ind w:right="20"/>
              <w:rPr>
                <w:rFonts w:ascii="Times New Roman" w:hAnsi="Times New Roman" w:cs="Times New Roman"/>
                <w:sz w:val="24"/>
                <w:szCs w:val="24"/>
              </w:rPr>
            </w:pPr>
          </w:p>
        </w:tc>
        <w:tc>
          <w:tcPr>
            <w:tcW w:w="6095" w:type="dxa"/>
          </w:tcPr>
          <w:p w:rsidR="006C6DBE" w:rsidRPr="006C6DBE" w:rsidRDefault="006C6DBE" w:rsidP="00794AE4">
            <w:pPr>
              <w:spacing w:after="0" w:line="240" w:lineRule="auto"/>
              <w:jc w:val="both"/>
              <w:rPr>
                <w:rFonts w:ascii="Times New Roman" w:hAnsi="Times New Roman" w:cs="Times New Roman"/>
                <w:sz w:val="24"/>
                <w:szCs w:val="24"/>
              </w:rPr>
            </w:pPr>
            <w:r w:rsidRPr="006C6DBE">
              <w:rPr>
                <w:rFonts w:ascii="Times New Roman" w:hAnsi="Times New Roman" w:cs="Times New Roman"/>
                <w:sz w:val="24"/>
                <w:szCs w:val="24"/>
              </w:rPr>
              <w:t>Товариство з обмеженою вiдповiдальнiстю "Компанiя з управлiння активами "Патрiот" ((Пайовий недиверсифiкований венчурний iнвестицiйний фонд закритого типу "Патрiот-2"), код 38590189-23300188, , кінцевий бенефіціарТуржанская Наталія Іванівна–23,95</w:t>
            </w:r>
          </w:p>
        </w:tc>
      </w:tr>
      <w:tr w:rsidR="006C6DBE" w:rsidRPr="005D12CB" w:rsidTr="00794AE4">
        <w:trPr>
          <w:trHeight w:val="331"/>
        </w:trPr>
        <w:tc>
          <w:tcPr>
            <w:tcW w:w="675" w:type="dxa"/>
          </w:tcPr>
          <w:p w:rsidR="006C6DBE" w:rsidRPr="006C6DBE" w:rsidRDefault="006C6DBE" w:rsidP="00794AE4">
            <w:pPr>
              <w:spacing w:after="0" w:line="240" w:lineRule="auto"/>
              <w:ind w:right="119"/>
              <w:jc w:val="center"/>
              <w:rPr>
                <w:rFonts w:ascii="Times New Roman" w:hAnsi="Times New Roman" w:cs="Times New Roman"/>
                <w:sz w:val="24"/>
                <w:szCs w:val="24"/>
              </w:rPr>
            </w:pPr>
            <w:r w:rsidRPr="006C6DBE">
              <w:rPr>
                <w:rFonts w:ascii="Times New Roman" w:hAnsi="Times New Roman" w:cs="Times New Roman"/>
                <w:sz w:val="24"/>
                <w:szCs w:val="24"/>
              </w:rPr>
              <w:t>2</w:t>
            </w:r>
          </w:p>
        </w:tc>
        <w:tc>
          <w:tcPr>
            <w:tcW w:w="3119" w:type="dxa"/>
          </w:tcPr>
          <w:p w:rsidR="006C6DBE" w:rsidRPr="006C6DBE" w:rsidRDefault="006C6DBE" w:rsidP="00794AE4">
            <w:pPr>
              <w:spacing w:after="0" w:line="240" w:lineRule="auto"/>
              <w:ind w:right="20"/>
              <w:rPr>
                <w:rFonts w:ascii="Times New Roman" w:hAnsi="Times New Roman" w:cs="Times New Roman"/>
                <w:sz w:val="24"/>
                <w:szCs w:val="24"/>
              </w:rPr>
            </w:pPr>
            <w:r w:rsidRPr="006C6DBE">
              <w:rPr>
                <w:rFonts w:ascii="Times New Roman" w:hAnsi="Times New Roman" w:cs="Times New Roman"/>
                <w:sz w:val="24"/>
                <w:szCs w:val="24"/>
              </w:rPr>
              <w:t>Директор Товариства</w:t>
            </w:r>
          </w:p>
        </w:tc>
        <w:tc>
          <w:tcPr>
            <w:tcW w:w="6095" w:type="dxa"/>
          </w:tcPr>
          <w:p w:rsidR="006C6DBE" w:rsidRPr="006C6DBE" w:rsidRDefault="006C6DBE" w:rsidP="00794AE4">
            <w:pPr>
              <w:spacing w:after="0" w:line="240" w:lineRule="auto"/>
              <w:jc w:val="both"/>
              <w:rPr>
                <w:rFonts w:ascii="Times New Roman" w:hAnsi="Times New Roman" w:cs="Times New Roman"/>
                <w:sz w:val="24"/>
                <w:szCs w:val="24"/>
              </w:rPr>
            </w:pPr>
            <w:r w:rsidRPr="006C6DBE">
              <w:rPr>
                <w:rFonts w:ascii="Times New Roman" w:hAnsi="Times New Roman" w:cs="Times New Roman"/>
                <w:sz w:val="24"/>
                <w:szCs w:val="24"/>
              </w:rPr>
              <w:t>Лєнь Євген Олексійович (ІПН –1956407590)</w:t>
            </w:r>
          </w:p>
        </w:tc>
      </w:tr>
      <w:tr w:rsidR="006C6DBE" w:rsidRPr="005D12CB" w:rsidTr="00794AE4">
        <w:trPr>
          <w:trHeight w:val="208"/>
        </w:trPr>
        <w:tc>
          <w:tcPr>
            <w:tcW w:w="675" w:type="dxa"/>
          </w:tcPr>
          <w:p w:rsidR="006C6DBE" w:rsidRPr="006C6DBE" w:rsidRDefault="006C6DBE" w:rsidP="00794AE4">
            <w:pPr>
              <w:spacing w:after="0" w:line="240" w:lineRule="auto"/>
              <w:ind w:right="119"/>
              <w:jc w:val="center"/>
              <w:rPr>
                <w:rFonts w:ascii="Times New Roman" w:hAnsi="Times New Roman" w:cs="Times New Roman"/>
                <w:sz w:val="24"/>
                <w:szCs w:val="24"/>
              </w:rPr>
            </w:pPr>
            <w:r w:rsidRPr="006C6DBE">
              <w:rPr>
                <w:rFonts w:ascii="Times New Roman" w:hAnsi="Times New Roman" w:cs="Times New Roman"/>
                <w:sz w:val="24"/>
                <w:szCs w:val="24"/>
              </w:rPr>
              <w:t>3</w:t>
            </w:r>
          </w:p>
        </w:tc>
        <w:tc>
          <w:tcPr>
            <w:tcW w:w="9214" w:type="dxa"/>
            <w:gridSpan w:val="2"/>
          </w:tcPr>
          <w:p w:rsidR="006C6DBE" w:rsidRPr="006C6DBE" w:rsidRDefault="006C6DBE" w:rsidP="00794AE4">
            <w:pPr>
              <w:spacing w:after="0" w:line="240" w:lineRule="auto"/>
              <w:ind w:left="20" w:right="20"/>
              <w:rPr>
                <w:rFonts w:ascii="Times New Roman" w:hAnsi="Times New Roman" w:cs="Times New Roman"/>
                <w:sz w:val="24"/>
                <w:szCs w:val="24"/>
                <w:lang w:eastAsia="en-US"/>
              </w:rPr>
            </w:pPr>
            <w:r w:rsidRPr="006C6DBE">
              <w:rPr>
                <w:rFonts w:ascii="Times New Roman" w:hAnsi="Times New Roman" w:cs="Times New Roman"/>
                <w:sz w:val="24"/>
                <w:szCs w:val="24"/>
                <w:lang w:eastAsia="en-US"/>
              </w:rPr>
              <w:t>Пов’язані особи учасників Товариства:</w:t>
            </w:r>
          </w:p>
        </w:tc>
      </w:tr>
      <w:tr w:rsidR="006C6DBE" w:rsidRPr="005D12CB" w:rsidTr="00794AE4">
        <w:trPr>
          <w:trHeight w:val="494"/>
        </w:trPr>
        <w:tc>
          <w:tcPr>
            <w:tcW w:w="675" w:type="dxa"/>
            <w:vMerge w:val="restart"/>
          </w:tcPr>
          <w:p w:rsidR="006C6DBE" w:rsidRPr="006C6DBE" w:rsidRDefault="006C6DBE" w:rsidP="00794AE4">
            <w:pPr>
              <w:spacing w:after="0" w:line="240" w:lineRule="auto"/>
              <w:ind w:right="119"/>
              <w:jc w:val="center"/>
              <w:rPr>
                <w:rFonts w:ascii="Times New Roman" w:hAnsi="Times New Roman" w:cs="Times New Roman"/>
                <w:sz w:val="24"/>
                <w:szCs w:val="24"/>
              </w:rPr>
            </w:pPr>
            <w:r w:rsidRPr="006C6DBE">
              <w:rPr>
                <w:rFonts w:ascii="Times New Roman" w:hAnsi="Times New Roman" w:cs="Times New Roman"/>
                <w:sz w:val="24"/>
                <w:szCs w:val="24"/>
              </w:rPr>
              <w:t>3.1</w:t>
            </w:r>
          </w:p>
        </w:tc>
        <w:tc>
          <w:tcPr>
            <w:tcW w:w="3119" w:type="dxa"/>
            <w:vMerge w:val="restart"/>
          </w:tcPr>
          <w:p w:rsidR="006C6DBE" w:rsidRPr="006C6DBE" w:rsidRDefault="006C6DBE" w:rsidP="00794AE4">
            <w:pPr>
              <w:spacing w:after="0" w:line="240" w:lineRule="auto"/>
              <w:ind w:left="20" w:right="20"/>
              <w:rPr>
                <w:rFonts w:ascii="Times New Roman" w:hAnsi="Times New Roman" w:cs="Times New Roman"/>
                <w:b/>
                <w:sz w:val="24"/>
                <w:szCs w:val="24"/>
                <w:lang w:eastAsia="en-US"/>
              </w:rPr>
            </w:pPr>
            <w:r w:rsidRPr="006C6DBE">
              <w:rPr>
                <w:rFonts w:ascii="Times New Roman" w:hAnsi="Times New Roman" w:cs="Times New Roman"/>
                <w:sz w:val="24"/>
                <w:szCs w:val="24"/>
                <w:lang w:eastAsia="en-US"/>
              </w:rPr>
              <w:t xml:space="preserve">Юридичні особи, через </w:t>
            </w:r>
            <w:r w:rsidRPr="006C6DBE">
              <w:rPr>
                <w:rFonts w:ascii="Times New Roman" w:hAnsi="Times New Roman" w:cs="Times New Roman"/>
                <w:sz w:val="24"/>
                <w:szCs w:val="24"/>
                <w:lang w:eastAsia="en-US"/>
              </w:rPr>
              <w:lastRenderedPageBreak/>
              <w:t>яких здійснюється опосередкований вплив</w:t>
            </w:r>
          </w:p>
        </w:tc>
        <w:tc>
          <w:tcPr>
            <w:tcW w:w="6095" w:type="dxa"/>
          </w:tcPr>
          <w:p w:rsidR="006C6DBE" w:rsidRPr="006C6DBE" w:rsidRDefault="006C6DBE" w:rsidP="00794AE4">
            <w:pPr>
              <w:spacing w:after="0" w:line="240" w:lineRule="auto"/>
              <w:ind w:right="-108"/>
              <w:jc w:val="both"/>
              <w:rPr>
                <w:rFonts w:ascii="Times New Roman" w:hAnsi="Times New Roman" w:cs="Times New Roman"/>
                <w:bCs/>
                <w:iCs/>
                <w:sz w:val="24"/>
                <w:szCs w:val="24"/>
              </w:rPr>
            </w:pPr>
            <w:r w:rsidRPr="006C6DBE">
              <w:rPr>
                <w:rFonts w:ascii="Times New Roman" w:hAnsi="Times New Roman" w:cs="Times New Roman"/>
                <w:bCs/>
                <w:iCs/>
                <w:sz w:val="24"/>
                <w:szCs w:val="24"/>
              </w:rPr>
              <w:lastRenderedPageBreak/>
              <w:t>АВРИС ЛІМІТЕД, Кіпр код НЕ 227 883</w:t>
            </w:r>
          </w:p>
        </w:tc>
      </w:tr>
      <w:tr w:rsidR="006C6DBE" w:rsidRPr="005D12CB" w:rsidTr="00794AE4">
        <w:trPr>
          <w:trHeight w:val="541"/>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tcPr>
          <w:p w:rsidR="006C6DBE" w:rsidRPr="006C6DBE" w:rsidRDefault="006C6DBE" w:rsidP="00794AE4">
            <w:pPr>
              <w:spacing w:after="0" w:line="240" w:lineRule="auto"/>
              <w:ind w:right="-108"/>
              <w:jc w:val="both"/>
              <w:rPr>
                <w:rFonts w:ascii="Times New Roman" w:hAnsi="Times New Roman" w:cs="Times New Roman"/>
                <w:bCs/>
                <w:iCs/>
                <w:sz w:val="24"/>
                <w:szCs w:val="24"/>
              </w:rPr>
            </w:pPr>
            <w:r w:rsidRPr="006C6DBE">
              <w:rPr>
                <w:rFonts w:ascii="Times New Roman" w:hAnsi="Times New Roman" w:cs="Times New Roman"/>
                <w:bCs/>
                <w:iCs/>
                <w:sz w:val="24"/>
                <w:szCs w:val="24"/>
              </w:rPr>
              <w:t>ЕНИЗАР КОРП, Беліз, код 93, 205</w:t>
            </w:r>
          </w:p>
        </w:tc>
      </w:tr>
      <w:tr w:rsidR="006C6DBE" w:rsidRPr="005D12CB" w:rsidTr="00794AE4">
        <w:trPr>
          <w:trHeight w:val="326"/>
        </w:trPr>
        <w:tc>
          <w:tcPr>
            <w:tcW w:w="675" w:type="dxa"/>
            <w:vMerge w:val="restart"/>
          </w:tcPr>
          <w:p w:rsidR="006C6DBE" w:rsidRPr="006C6DBE" w:rsidRDefault="006C6DBE" w:rsidP="00794AE4">
            <w:pPr>
              <w:spacing w:after="0" w:line="240" w:lineRule="auto"/>
              <w:ind w:right="119"/>
              <w:jc w:val="center"/>
              <w:rPr>
                <w:rFonts w:ascii="Times New Roman" w:hAnsi="Times New Roman" w:cs="Times New Roman"/>
                <w:sz w:val="24"/>
                <w:szCs w:val="24"/>
              </w:rPr>
            </w:pPr>
            <w:r w:rsidRPr="006C6DBE">
              <w:rPr>
                <w:rFonts w:ascii="Times New Roman" w:hAnsi="Times New Roman" w:cs="Times New Roman"/>
                <w:sz w:val="24"/>
                <w:szCs w:val="24"/>
              </w:rPr>
              <w:lastRenderedPageBreak/>
              <w:t>3.2</w:t>
            </w:r>
          </w:p>
        </w:tc>
        <w:tc>
          <w:tcPr>
            <w:tcW w:w="3119" w:type="dxa"/>
            <w:vMerge w:val="restart"/>
          </w:tcPr>
          <w:p w:rsidR="006C6DBE" w:rsidRPr="006C6DBE" w:rsidRDefault="006C6DBE" w:rsidP="00794AE4">
            <w:pPr>
              <w:spacing w:after="0" w:line="240" w:lineRule="auto"/>
              <w:ind w:left="20" w:right="20"/>
              <w:rPr>
                <w:rFonts w:ascii="Times New Roman" w:hAnsi="Times New Roman" w:cs="Times New Roman"/>
                <w:b/>
                <w:sz w:val="24"/>
                <w:szCs w:val="24"/>
                <w:lang w:eastAsia="en-US"/>
              </w:rPr>
            </w:pPr>
            <w:r w:rsidRPr="006C6DBE">
              <w:rPr>
                <w:rFonts w:ascii="Times New Roman" w:hAnsi="Times New Roman" w:cs="Times New Roman"/>
                <w:sz w:val="24"/>
                <w:szCs w:val="24"/>
                <w:lang w:eastAsia="en-US"/>
              </w:rPr>
              <w:t xml:space="preserve">Пов’язані особи кінцевого бенефіціара </w:t>
            </w:r>
            <w:r w:rsidRPr="006C6DBE">
              <w:rPr>
                <w:rFonts w:ascii="Times New Roman" w:hAnsi="Times New Roman" w:cs="Times New Roman"/>
                <w:sz w:val="24"/>
                <w:szCs w:val="24"/>
              </w:rPr>
              <w:t>Туржанскої Наталії Іванівни</w:t>
            </w: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sz w:val="24"/>
                <w:szCs w:val="24"/>
              </w:rPr>
            </w:pPr>
            <w:r w:rsidRPr="006C6DBE">
              <w:rPr>
                <w:rFonts w:ascii="Times New Roman" w:hAnsi="Times New Roman" w:cs="Times New Roman"/>
                <w:sz w:val="24"/>
                <w:szCs w:val="24"/>
              </w:rPr>
              <w:t>«ХЕЛСІ ЕНД ХЕПІ» код35725498,засновник,бенефіціар</w:t>
            </w:r>
          </w:p>
        </w:tc>
      </w:tr>
      <w:tr w:rsidR="006C6DBE" w:rsidRPr="005D12CB" w:rsidTr="00794AE4">
        <w:trPr>
          <w:trHeight w:val="286"/>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b/>
                <w:sz w:val="24"/>
                <w:szCs w:val="24"/>
              </w:rPr>
            </w:pPr>
            <w:r w:rsidRPr="006C6DBE">
              <w:rPr>
                <w:rFonts w:ascii="Times New Roman" w:hAnsi="Times New Roman" w:cs="Times New Roman"/>
                <w:sz w:val="24"/>
                <w:szCs w:val="24"/>
                <w:shd w:val="clear" w:color="auto" w:fill="FFFFFF"/>
              </w:rPr>
              <w:t>"ХЕЛСІ ЕНД ХЕПІ ФАРМАСІ" код 39369636, бенефіціар</w:t>
            </w:r>
          </w:p>
        </w:tc>
      </w:tr>
      <w:tr w:rsidR="006C6DBE" w:rsidRPr="005D12CB" w:rsidTr="00794AE4">
        <w:trPr>
          <w:trHeight w:val="137"/>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sz w:val="24"/>
                <w:szCs w:val="24"/>
              </w:rPr>
            </w:pPr>
            <w:r w:rsidRPr="006C6DBE">
              <w:rPr>
                <w:rFonts w:ascii="Times New Roman" w:hAnsi="Times New Roman" w:cs="Times New Roman"/>
                <w:sz w:val="24"/>
                <w:szCs w:val="24"/>
                <w:shd w:val="clear" w:color="auto" w:fill="FFFFFF"/>
              </w:rPr>
              <w:t>"РАДОМИШЛЬСЬКА ДЕРЕВООБРОБНА КОМПАНІЯ" код 3</w:t>
            </w:r>
            <w:r w:rsidRPr="006C6DBE">
              <w:rPr>
                <w:rFonts w:ascii="Times New Roman" w:hAnsi="Times New Roman" w:cs="Times New Roman"/>
                <w:sz w:val="24"/>
                <w:szCs w:val="24"/>
              </w:rPr>
              <w:t>4065060, бенефіціар</w:t>
            </w:r>
          </w:p>
        </w:tc>
      </w:tr>
      <w:tr w:rsidR="006C6DBE" w:rsidRPr="005D12CB" w:rsidTr="00794AE4">
        <w:trPr>
          <w:trHeight w:val="446"/>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rPr>
                <w:rFonts w:ascii="Times New Roman" w:hAnsi="Times New Roman" w:cs="Times New Roman"/>
                <w:sz w:val="24"/>
                <w:szCs w:val="24"/>
              </w:rPr>
            </w:pPr>
            <w:r w:rsidRPr="006C6DBE">
              <w:rPr>
                <w:rFonts w:ascii="Times New Roman" w:hAnsi="Times New Roman" w:cs="Times New Roman"/>
                <w:sz w:val="24"/>
                <w:szCs w:val="24"/>
              </w:rPr>
              <w:t>«КАМЕТ АКТИВ» код 38506296, засновник,бенефіціар</w:t>
            </w:r>
          </w:p>
        </w:tc>
      </w:tr>
      <w:tr w:rsidR="006C6DBE" w:rsidRPr="005D12CB" w:rsidTr="00794AE4">
        <w:trPr>
          <w:trHeight w:val="535"/>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sz w:val="24"/>
                <w:szCs w:val="24"/>
              </w:rPr>
            </w:pPr>
            <w:r w:rsidRPr="006C6DBE">
              <w:rPr>
                <w:rFonts w:ascii="Times New Roman" w:hAnsi="Times New Roman" w:cs="Times New Roman"/>
                <w:sz w:val="24"/>
                <w:szCs w:val="24"/>
                <w:shd w:val="clear" w:color="auto" w:fill="FFFFFF"/>
              </w:rPr>
              <w:t xml:space="preserve">"КВАНТУМ-ГРУП" код </w:t>
            </w:r>
            <w:r w:rsidRPr="006C6DBE">
              <w:rPr>
                <w:rFonts w:ascii="Times New Roman" w:hAnsi="Times New Roman" w:cs="Times New Roman"/>
                <w:sz w:val="24"/>
                <w:szCs w:val="24"/>
              </w:rPr>
              <w:t>36791907, бенефіціар</w:t>
            </w:r>
          </w:p>
        </w:tc>
      </w:tr>
      <w:tr w:rsidR="006C6DBE" w:rsidRPr="005D12CB" w:rsidTr="00794AE4">
        <w:trPr>
          <w:trHeight w:val="649"/>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bCs/>
                <w:iCs/>
                <w:sz w:val="24"/>
                <w:szCs w:val="24"/>
              </w:rPr>
            </w:pPr>
            <w:r w:rsidRPr="006C6DBE">
              <w:rPr>
                <w:rFonts w:ascii="Times New Roman" w:hAnsi="Times New Roman" w:cs="Times New Roman"/>
                <w:sz w:val="24"/>
                <w:szCs w:val="24"/>
                <w:shd w:val="clear" w:color="auto" w:fill="FFFFFF"/>
              </w:rPr>
              <w:t xml:space="preserve">"КАМЕТМАШ" код 32304719 </w:t>
            </w:r>
            <w:r w:rsidRPr="006C6DBE">
              <w:rPr>
                <w:rFonts w:ascii="Times New Roman" w:hAnsi="Times New Roman" w:cs="Times New Roman"/>
                <w:sz w:val="24"/>
                <w:szCs w:val="24"/>
              </w:rPr>
              <w:t>бенефіціар</w:t>
            </w:r>
          </w:p>
        </w:tc>
      </w:tr>
      <w:tr w:rsidR="006C6DBE" w:rsidRPr="005D12CB" w:rsidTr="00794AE4">
        <w:trPr>
          <w:trHeight w:val="649"/>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bCs/>
                <w:iCs/>
                <w:sz w:val="24"/>
                <w:szCs w:val="24"/>
              </w:rPr>
            </w:pPr>
            <w:r w:rsidRPr="006C6DBE">
              <w:rPr>
                <w:rFonts w:ascii="Times New Roman" w:hAnsi="Times New Roman" w:cs="Times New Roman"/>
                <w:sz w:val="24"/>
                <w:szCs w:val="24"/>
                <w:shd w:val="clear" w:color="auto" w:fill="FFFFFF"/>
              </w:rPr>
              <w:t xml:space="preserve">"ХЕЛСІ ЛАБ" код 43439709, </w:t>
            </w:r>
            <w:r w:rsidRPr="006C6DBE">
              <w:rPr>
                <w:rFonts w:ascii="Times New Roman" w:hAnsi="Times New Roman" w:cs="Times New Roman"/>
                <w:sz w:val="24"/>
                <w:szCs w:val="24"/>
              </w:rPr>
              <w:t>бенефіціар, засновник</w:t>
            </w:r>
          </w:p>
        </w:tc>
      </w:tr>
      <w:tr w:rsidR="006C6DBE" w:rsidRPr="005D12CB" w:rsidTr="00794AE4">
        <w:trPr>
          <w:trHeight w:val="649"/>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bCs/>
                <w:iCs/>
                <w:sz w:val="24"/>
                <w:szCs w:val="24"/>
              </w:rPr>
            </w:pPr>
            <w:r w:rsidRPr="006C6DBE">
              <w:rPr>
                <w:rFonts w:ascii="Times New Roman" w:hAnsi="Times New Roman" w:cs="Times New Roman"/>
                <w:sz w:val="24"/>
                <w:szCs w:val="24"/>
                <w:shd w:val="clear" w:color="auto" w:fill="FFFFFF"/>
              </w:rPr>
              <w:t xml:space="preserve">"КАПІТАЛ ГРУП АКТИВ" код 32045131, </w:t>
            </w:r>
            <w:r w:rsidRPr="006C6DBE">
              <w:rPr>
                <w:rFonts w:ascii="Times New Roman" w:hAnsi="Times New Roman" w:cs="Times New Roman"/>
                <w:sz w:val="24"/>
                <w:szCs w:val="24"/>
              </w:rPr>
              <w:t>бенефіціар, засновник</w:t>
            </w:r>
          </w:p>
        </w:tc>
      </w:tr>
      <w:tr w:rsidR="006C6DBE" w:rsidRPr="005D12CB" w:rsidTr="00794AE4">
        <w:trPr>
          <w:trHeight w:val="649"/>
        </w:trPr>
        <w:tc>
          <w:tcPr>
            <w:tcW w:w="675" w:type="dxa"/>
            <w:vMerge/>
          </w:tcPr>
          <w:p w:rsidR="006C6DBE" w:rsidRPr="006C6DBE" w:rsidRDefault="006C6DBE" w:rsidP="00794AE4">
            <w:pPr>
              <w:spacing w:after="0" w:line="240" w:lineRule="auto"/>
              <w:ind w:right="119"/>
              <w:jc w:val="center"/>
              <w:rPr>
                <w:rFonts w:ascii="Times New Roman" w:hAnsi="Times New Roman" w:cs="Times New Roman"/>
                <w:sz w:val="24"/>
                <w:szCs w:val="24"/>
                <w:highlight w:val="yellow"/>
              </w:rPr>
            </w:pPr>
          </w:p>
        </w:tc>
        <w:tc>
          <w:tcPr>
            <w:tcW w:w="3119" w:type="dxa"/>
            <w:vMerge/>
          </w:tcPr>
          <w:p w:rsidR="006C6DBE" w:rsidRPr="006C6DBE" w:rsidRDefault="006C6DBE" w:rsidP="00794AE4">
            <w:pPr>
              <w:spacing w:after="0" w:line="240" w:lineRule="auto"/>
              <w:ind w:left="20" w:right="20"/>
              <w:rPr>
                <w:rFonts w:ascii="Times New Roman" w:hAnsi="Times New Roman" w:cs="Times New Roman"/>
                <w:sz w:val="24"/>
                <w:szCs w:val="24"/>
                <w:lang w:eastAsia="en-US"/>
              </w:rPr>
            </w:pPr>
          </w:p>
        </w:tc>
        <w:tc>
          <w:tcPr>
            <w:tcW w:w="6095" w:type="dxa"/>
            <w:vAlign w:val="center"/>
          </w:tcPr>
          <w:p w:rsidR="006C6DBE" w:rsidRPr="006C6DBE" w:rsidRDefault="006C6DBE" w:rsidP="00794AE4">
            <w:pPr>
              <w:spacing w:after="0" w:line="240" w:lineRule="auto"/>
              <w:ind w:left="-108" w:right="-108"/>
              <w:jc w:val="both"/>
              <w:rPr>
                <w:rFonts w:ascii="Times New Roman" w:hAnsi="Times New Roman" w:cs="Times New Roman"/>
                <w:sz w:val="24"/>
                <w:szCs w:val="24"/>
              </w:rPr>
            </w:pPr>
            <w:r w:rsidRPr="006C6DBE">
              <w:rPr>
                <w:rFonts w:ascii="Times New Roman" w:hAnsi="Times New Roman" w:cs="Times New Roman"/>
                <w:sz w:val="24"/>
                <w:szCs w:val="24"/>
                <w:shd w:val="clear" w:color="auto" w:fill="FFFFFF"/>
              </w:rPr>
              <w:t xml:space="preserve">«РДК ПЛЮС" код </w:t>
            </w:r>
            <w:r w:rsidRPr="006C6DBE">
              <w:rPr>
                <w:rFonts w:ascii="Times New Roman" w:hAnsi="Times New Roman" w:cs="Times New Roman"/>
                <w:sz w:val="24"/>
                <w:szCs w:val="24"/>
              </w:rPr>
              <w:t>43818361,бенефіціар</w:t>
            </w:r>
          </w:p>
          <w:p w:rsidR="006C6DBE" w:rsidRPr="006C6DBE" w:rsidRDefault="006C6DBE" w:rsidP="00794AE4">
            <w:pPr>
              <w:spacing w:after="0" w:line="240" w:lineRule="auto"/>
              <w:ind w:left="-108" w:right="-108"/>
              <w:jc w:val="both"/>
              <w:rPr>
                <w:rFonts w:ascii="Times New Roman" w:hAnsi="Times New Roman" w:cs="Times New Roman"/>
                <w:bCs/>
                <w:iCs/>
                <w:sz w:val="24"/>
                <w:szCs w:val="24"/>
              </w:rPr>
            </w:pPr>
          </w:p>
        </w:tc>
      </w:tr>
    </w:tbl>
    <w:p w:rsidR="006C6DBE" w:rsidRPr="005D12CB" w:rsidRDefault="006C6DBE" w:rsidP="006C6DBE">
      <w:pPr>
        <w:spacing w:after="0" w:line="240" w:lineRule="auto"/>
      </w:pPr>
    </w:p>
    <w:p w:rsidR="006C6DBE" w:rsidRPr="005D12CB" w:rsidRDefault="006C6DBE" w:rsidP="006C6DBE">
      <w:pPr>
        <w:pStyle w:val="1f5"/>
        <w:ind w:hanging="2"/>
        <w:jc w:val="both"/>
        <w:rPr>
          <w:rFonts w:ascii="Times New Roman" w:hAnsi="Times New Roman"/>
          <w:noProof/>
          <w:sz w:val="24"/>
          <w:szCs w:val="24"/>
        </w:rPr>
      </w:pPr>
      <w:r w:rsidRPr="005D12CB">
        <w:rPr>
          <w:rFonts w:ascii="Times New Roman" w:hAnsi="Times New Roman"/>
          <w:noProof/>
          <w:sz w:val="24"/>
          <w:szCs w:val="24"/>
        </w:rPr>
        <w:t>Перелік та вид операцій, які здійснювало Товариство з пов’язаними сторонами протягом 2021 та 2020 року наведено нижче , тис. грн.</w:t>
      </w:r>
    </w:p>
    <w:p w:rsidR="006C6DBE" w:rsidRPr="005D12CB" w:rsidRDefault="006C6DBE" w:rsidP="006C6DBE">
      <w:pPr>
        <w:pStyle w:val="1f5"/>
        <w:ind w:hanging="2"/>
        <w:jc w:val="both"/>
        <w:rPr>
          <w:rFonts w:ascii="Times New Roman" w:hAnsi="Times New Roman"/>
          <w:noProof/>
          <w:sz w:val="24"/>
          <w:szCs w:val="24"/>
        </w:rPr>
      </w:pPr>
    </w:p>
    <w:tbl>
      <w:tblPr>
        <w:tblW w:w="9875" w:type="dxa"/>
        <w:tblInd w:w="40" w:type="dxa"/>
        <w:tblLayout w:type="fixed"/>
        <w:tblCellMar>
          <w:left w:w="40" w:type="dxa"/>
          <w:right w:w="40" w:type="dxa"/>
        </w:tblCellMar>
        <w:tblLook w:val="0000"/>
      </w:tblPr>
      <w:tblGrid>
        <w:gridCol w:w="2410"/>
        <w:gridCol w:w="3071"/>
        <w:gridCol w:w="2126"/>
        <w:gridCol w:w="2268"/>
      </w:tblGrid>
      <w:tr w:rsidR="006C6DBE" w:rsidRPr="005D12CB" w:rsidTr="00794AE4">
        <w:trPr>
          <w:trHeight w:hRule="exact" w:val="87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rPr>
                <w:rFonts w:ascii="Times New Roman" w:hAnsi="Times New Roman" w:cs="Times New Roman"/>
                <w:b/>
                <w:sz w:val="24"/>
                <w:szCs w:val="24"/>
              </w:rPr>
            </w:pPr>
            <w:r w:rsidRPr="006C6DBE">
              <w:rPr>
                <w:rFonts w:ascii="Times New Roman" w:hAnsi="Times New Roman" w:cs="Times New Roman"/>
                <w:b/>
                <w:sz w:val="24"/>
                <w:szCs w:val="24"/>
              </w:rPr>
              <w:t>Вид операцій</w:t>
            </w:r>
          </w:p>
        </w:tc>
        <w:tc>
          <w:tcPr>
            <w:tcW w:w="3071"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b/>
                <w:bCs/>
                <w:sz w:val="24"/>
                <w:szCs w:val="24"/>
              </w:rPr>
              <w:t>Найменування пов'язаної особи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jc w:val="center"/>
              <w:rPr>
                <w:rFonts w:ascii="Times New Roman" w:hAnsi="Times New Roman" w:cs="Times New Roman"/>
                <w:sz w:val="24"/>
                <w:szCs w:val="24"/>
                <w:lang w:val="ru-RU"/>
              </w:rPr>
            </w:pPr>
            <w:r w:rsidRPr="006C6DBE">
              <w:rPr>
                <w:rFonts w:ascii="Times New Roman" w:hAnsi="Times New Roman" w:cs="Times New Roman"/>
                <w:b/>
                <w:bCs/>
                <w:spacing w:val="-12"/>
                <w:sz w:val="24"/>
                <w:szCs w:val="24"/>
                <w:lang w:val="ru-RU"/>
              </w:rPr>
              <w:t>За 2021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left="19"/>
              <w:jc w:val="center"/>
              <w:rPr>
                <w:rFonts w:ascii="Times New Roman" w:hAnsi="Times New Roman" w:cs="Times New Roman"/>
                <w:sz w:val="24"/>
                <w:szCs w:val="24"/>
                <w:lang w:val="ru-RU"/>
              </w:rPr>
            </w:pPr>
            <w:r w:rsidRPr="006C6DBE">
              <w:rPr>
                <w:rFonts w:ascii="Times New Roman" w:hAnsi="Times New Roman" w:cs="Times New Roman"/>
                <w:b/>
                <w:bCs/>
                <w:spacing w:val="-12"/>
                <w:sz w:val="24"/>
                <w:szCs w:val="24"/>
                <w:lang w:val="ru-RU"/>
              </w:rPr>
              <w:t>За 2020</w:t>
            </w:r>
          </w:p>
        </w:tc>
      </w:tr>
      <w:tr w:rsidR="006C6DBE" w:rsidRPr="006C6DBE" w:rsidTr="00794AE4">
        <w:trPr>
          <w:gridAfter w:val="3"/>
          <w:wAfter w:w="7465" w:type="dxa"/>
          <w:trHeight w:hRule="exact" w:val="100"/>
        </w:trPr>
        <w:tc>
          <w:tcPr>
            <w:tcW w:w="2410" w:type="dxa"/>
            <w:vMerge w:val="restart"/>
            <w:tcBorders>
              <w:top w:val="single" w:sz="6" w:space="0" w:color="auto"/>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r w:rsidRPr="006C6DBE">
              <w:rPr>
                <w:rFonts w:ascii="Times New Roman" w:hAnsi="Times New Roman" w:cs="Times New Roman"/>
                <w:sz w:val="24"/>
                <w:szCs w:val="24"/>
              </w:rPr>
              <w:t>Надання послуг</w:t>
            </w:r>
          </w:p>
        </w:tc>
      </w:tr>
      <w:tr w:rsidR="006C6DBE" w:rsidRPr="005D12CB" w:rsidTr="00794AE4">
        <w:trPr>
          <w:trHeight w:hRule="exact" w:val="352"/>
        </w:trPr>
        <w:tc>
          <w:tcPr>
            <w:tcW w:w="2410" w:type="dxa"/>
            <w:vMerge/>
            <w:tcBorders>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1"/>
                <w:sz w:val="24"/>
                <w:szCs w:val="24"/>
              </w:rPr>
            </w:pPr>
            <w:r w:rsidRPr="006C6DBE">
              <w:rPr>
                <w:rFonts w:ascii="Times New Roman" w:hAnsi="Times New Roman" w:cs="Times New Roman"/>
                <w:sz w:val="24"/>
                <w:szCs w:val="24"/>
                <w:shd w:val="clear" w:color="auto" w:fill="FFFFFF"/>
              </w:rPr>
              <w:t>КАМЕТМАШ"</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52,2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33,3</w:t>
            </w:r>
          </w:p>
        </w:tc>
      </w:tr>
      <w:tr w:rsidR="006C6DBE" w:rsidRPr="005D12CB" w:rsidTr="00794AE4">
        <w:trPr>
          <w:trHeight w:hRule="exact" w:val="617"/>
        </w:trPr>
        <w:tc>
          <w:tcPr>
            <w:tcW w:w="2410" w:type="dxa"/>
            <w:vMerge/>
            <w:tcBorders>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shd w:val="clear" w:color="auto" w:fill="FFFFFF"/>
              </w:rPr>
            </w:pPr>
            <w:r w:rsidRPr="006C6DBE">
              <w:rPr>
                <w:rFonts w:ascii="Times New Roman" w:hAnsi="Times New Roman" w:cs="Times New Roman"/>
                <w:sz w:val="24"/>
                <w:szCs w:val="24"/>
                <w:shd w:val="clear" w:color="auto" w:fill="FFFFFF"/>
              </w:rPr>
              <w:t>КАПІТАЛ ГРУП АКТИВ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38,7</w:t>
            </w:r>
          </w:p>
        </w:tc>
      </w:tr>
      <w:tr w:rsidR="006C6DBE" w:rsidRPr="005D12CB" w:rsidTr="00794AE4">
        <w:trPr>
          <w:trHeight w:hRule="exact" w:val="515"/>
        </w:trPr>
        <w:tc>
          <w:tcPr>
            <w:tcW w:w="2410" w:type="dxa"/>
            <w:vMerge/>
            <w:tcBorders>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shd w:val="clear" w:color="auto" w:fill="FFFFFF"/>
              </w:rPr>
            </w:pPr>
            <w:r w:rsidRPr="006C6DBE">
              <w:rPr>
                <w:rFonts w:ascii="Times New Roman" w:hAnsi="Times New Roman" w:cs="Times New Roman"/>
                <w:sz w:val="24"/>
                <w:szCs w:val="24"/>
                <w:shd w:val="clear" w:color="auto" w:fill="FFFFFF"/>
              </w:rPr>
              <w:t>РДК</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66,8</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65,6</w:t>
            </w:r>
          </w:p>
        </w:tc>
      </w:tr>
      <w:tr w:rsidR="006C6DBE" w:rsidRPr="005D12CB" w:rsidTr="00794AE4">
        <w:trPr>
          <w:trHeight w:hRule="exact" w:val="515"/>
        </w:trPr>
        <w:tc>
          <w:tcPr>
            <w:tcW w:w="2410" w:type="dxa"/>
            <w:vMerge/>
            <w:tcBorders>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1"/>
                <w:sz w:val="24"/>
                <w:szCs w:val="24"/>
              </w:rPr>
            </w:pPr>
            <w:r w:rsidRPr="006C6DBE">
              <w:rPr>
                <w:rFonts w:ascii="Times New Roman" w:hAnsi="Times New Roman" w:cs="Times New Roman"/>
                <w:sz w:val="24"/>
                <w:szCs w:val="24"/>
                <w:shd w:val="clear" w:color="auto" w:fill="FFFFFF"/>
              </w:rPr>
              <w:t>"ХЕЛСІ ЕНД ХЕПІ"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264,6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97,0</w:t>
            </w:r>
          </w:p>
        </w:tc>
      </w:tr>
      <w:tr w:rsidR="006C6DBE" w:rsidRPr="005D12CB" w:rsidTr="00794AE4">
        <w:trPr>
          <w:trHeight w:hRule="exact" w:val="515"/>
        </w:trPr>
        <w:tc>
          <w:tcPr>
            <w:tcW w:w="2410" w:type="dxa"/>
            <w:vMerge/>
            <w:tcBorders>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shd w:val="clear" w:color="auto" w:fill="FFFFFF"/>
              </w:rPr>
            </w:pPr>
            <w:r w:rsidRPr="006C6DBE">
              <w:rPr>
                <w:rFonts w:ascii="Times New Roman" w:hAnsi="Times New Roman" w:cs="Times New Roman"/>
                <w:sz w:val="24"/>
                <w:szCs w:val="24"/>
                <w:shd w:val="clear" w:color="auto" w:fill="FFFFFF"/>
              </w:rPr>
              <w:t>КУА ПАТРІОТ</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218,8</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208,8</w:t>
            </w:r>
          </w:p>
        </w:tc>
      </w:tr>
      <w:tr w:rsidR="006C6DBE" w:rsidRPr="005D12CB" w:rsidTr="00794AE4">
        <w:trPr>
          <w:trHeight w:hRule="exact" w:val="352"/>
        </w:trPr>
        <w:tc>
          <w:tcPr>
            <w:tcW w:w="2410" w:type="dxa"/>
            <w:vMerge/>
            <w:tcBorders>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1"/>
                <w:sz w:val="24"/>
                <w:szCs w:val="24"/>
              </w:rPr>
            </w:pPr>
            <w:r w:rsidRPr="006C6DBE">
              <w:rPr>
                <w:rFonts w:ascii="Times New Roman" w:hAnsi="Times New Roman" w:cs="Times New Roman"/>
                <w:sz w:val="24"/>
                <w:szCs w:val="24"/>
                <w:shd w:val="clear" w:color="auto" w:fill="FFFFFF"/>
              </w:rPr>
              <w:t>"КАМЕТ АКТИВ"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61,2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58,8</w:t>
            </w:r>
          </w:p>
        </w:tc>
      </w:tr>
      <w:tr w:rsidR="006C6DBE" w:rsidRPr="005D12CB" w:rsidTr="00794AE4">
        <w:trPr>
          <w:trHeight w:hRule="exact" w:val="66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r w:rsidRPr="006C6DBE">
              <w:rPr>
                <w:rFonts w:ascii="Times New Roman" w:hAnsi="Times New Roman" w:cs="Times New Roman"/>
                <w:sz w:val="24"/>
                <w:szCs w:val="24"/>
              </w:rPr>
              <w:t>Виплати з/п з нарахуваннями</w:t>
            </w:r>
          </w:p>
        </w:tc>
        <w:tc>
          <w:tcPr>
            <w:tcW w:w="3071"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jc w:val="center"/>
              <w:rPr>
                <w:rFonts w:ascii="Times New Roman" w:hAnsi="Times New Roman" w:cs="Times New Roman"/>
                <w:sz w:val="24"/>
                <w:szCs w:val="24"/>
              </w:rPr>
            </w:pPr>
            <w:r w:rsidRPr="006C6DBE">
              <w:rPr>
                <w:rFonts w:ascii="Times New Roman" w:hAnsi="Times New Roman" w:cs="Times New Roman"/>
                <w:sz w:val="24"/>
                <w:szCs w:val="24"/>
              </w:rPr>
              <w:t>Лєнь Є.О.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441,8</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lang w:val="en-US"/>
              </w:rPr>
            </w:pPr>
          </w:p>
        </w:tc>
      </w:tr>
      <w:tr w:rsidR="006C6DBE" w:rsidRPr="005D12CB" w:rsidTr="00794AE4">
        <w:trPr>
          <w:trHeight w:hRule="exact" w:val="767"/>
        </w:trPr>
        <w:tc>
          <w:tcPr>
            <w:tcW w:w="2410" w:type="dxa"/>
            <w:vMerge w:val="restart"/>
            <w:tcBorders>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noProof/>
                <w:sz w:val="24"/>
                <w:szCs w:val="24"/>
                <w:lang w:eastAsia="en-US"/>
              </w:rPr>
            </w:pPr>
            <w:r w:rsidRPr="006C6DBE">
              <w:rPr>
                <w:rFonts w:ascii="Times New Roman" w:hAnsi="Times New Roman" w:cs="Times New Roman"/>
                <w:noProof/>
                <w:sz w:val="24"/>
                <w:szCs w:val="24"/>
                <w:lang w:eastAsia="en-US"/>
              </w:rPr>
              <w:t>Короткострокові позики  надані ПрАТ «Камет»</w:t>
            </w:r>
          </w:p>
          <w:p w:rsidR="006C6DBE" w:rsidRPr="006C6DBE" w:rsidRDefault="006C6DBE" w:rsidP="00794AE4">
            <w:pPr>
              <w:shd w:val="clear" w:color="auto" w:fill="FFFFFF"/>
              <w:spacing w:after="0" w:line="240" w:lineRule="auto"/>
              <w:ind w:right="130"/>
              <w:rPr>
                <w:rFonts w:ascii="Times New Roman" w:hAnsi="Times New Roman" w:cs="Times New Roman"/>
                <w:noProof/>
                <w:sz w:val="24"/>
                <w:szCs w:val="24"/>
                <w:lang w:eastAsia="en-US"/>
              </w:rPr>
            </w:pPr>
          </w:p>
          <w:p w:rsidR="006C6DBE" w:rsidRPr="006C6DBE" w:rsidRDefault="006C6DBE" w:rsidP="00794AE4">
            <w:pPr>
              <w:shd w:val="clear" w:color="auto" w:fill="FFFFFF"/>
              <w:spacing w:after="0" w:line="240" w:lineRule="auto"/>
              <w:ind w:right="130"/>
              <w:rPr>
                <w:rFonts w:ascii="Times New Roman" w:hAnsi="Times New Roman" w:cs="Times New Roman"/>
                <w:sz w:val="24"/>
                <w:szCs w:val="24"/>
              </w:rPr>
            </w:pPr>
            <w:r w:rsidRPr="006C6DBE">
              <w:rPr>
                <w:rFonts w:ascii="Times New Roman" w:hAnsi="Times New Roman" w:cs="Times New Roman"/>
                <w:noProof/>
                <w:sz w:val="24"/>
                <w:szCs w:val="24"/>
                <w:lang w:eastAsia="en-US"/>
              </w:rPr>
              <w:t>Повернені від ПрАТ «Камет»</w:t>
            </w:r>
          </w:p>
        </w:tc>
        <w:tc>
          <w:tcPr>
            <w:tcW w:w="3071"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jc w:val="center"/>
              <w:rPr>
                <w:rFonts w:ascii="Times New Roman" w:hAnsi="Times New Roman" w:cs="Times New Roman"/>
                <w:sz w:val="24"/>
                <w:szCs w:val="24"/>
              </w:rPr>
            </w:pPr>
            <w:r w:rsidRPr="006C6DBE">
              <w:rPr>
                <w:rFonts w:ascii="Times New Roman" w:hAnsi="Times New Roman" w:cs="Times New Roman"/>
                <w:sz w:val="24"/>
                <w:szCs w:val="24"/>
              </w:rPr>
              <w:t>ПНВІФЗТ «ПАТРІОТ 2» КУА ПАТРІОТ</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3 500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14 000</w:t>
            </w:r>
          </w:p>
        </w:tc>
      </w:tr>
      <w:tr w:rsidR="006C6DBE" w:rsidRPr="005D12CB" w:rsidTr="00794AE4">
        <w:trPr>
          <w:trHeight w:hRule="exact" w:val="767"/>
        </w:trPr>
        <w:tc>
          <w:tcPr>
            <w:tcW w:w="2410" w:type="dxa"/>
            <w:vMerge/>
            <w:tcBorders>
              <w:left w:val="single" w:sz="6" w:space="0" w:color="auto"/>
              <w:bottom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4"/>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jc w:val="center"/>
              <w:rPr>
                <w:rFonts w:ascii="Times New Roman" w:hAnsi="Times New Roman" w:cs="Times New Roman"/>
                <w:sz w:val="24"/>
                <w:szCs w:val="24"/>
                <w:shd w:val="clear" w:color="auto" w:fill="FFFFFF"/>
              </w:rPr>
            </w:pPr>
            <w:r w:rsidRPr="006C6DBE">
              <w:rPr>
                <w:rFonts w:ascii="Times New Roman" w:hAnsi="Times New Roman" w:cs="Times New Roman"/>
                <w:sz w:val="24"/>
                <w:szCs w:val="24"/>
              </w:rPr>
              <w:t xml:space="preserve">ПНВІФЗТ « Патріот 2» КУА ПАТРІОТ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9 500</w:t>
            </w:r>
          </w:p>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8 000</w:t>
            </w:r>
          </w:p>
        </w:tc>
      </w:tr>
      <w:tr w:rsidR="006C6DBE" w:rsidRPr="006C6DBE" w:rsidTr="00794AE4">
        <w:trPr>
          <w:gridAfter w:val="3"/>
          <w:wAfter w:w="7465" w:type="dxa"/>
          <w:trHeight w:hRule="exact" w:val="165"/>
        </w:trPr>
        <w:tc>
          <w:tcPr>
            <w:tcW w:w="2410" w:type="dxa"/>
            <w:vMerge w:val="restart"/>
            <w:tcBorders>
              <w:top w:val="single" w:sz="6" w:space="0" w:color="auto"/>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1"/>
                <w:sz w:val="24"/>
                <w:szCs w:val="24"/>
              </w:rPr>
            </w:pPr>
            <w:r w:rsidRPr="006C6DBE">
              <w:rPr>
                <w:rFonts w:ascii="Times New Roman" w:hAnsi="Times New Roman" w:cs="Times New Roman"/>
                <w:noProof/>
                <w:sz w:val="24"/>
                <w:szCs w:val="24"/>
                <w:lang w:eastAsia="en-US"/>
              </w:rPr>
              <w:t>Короткострокові позики надані від ПрАТ «Камет» та повернені</w:t>
            </w:r>
          </w:p>
        </w:tc>
      </w:tr>
      <w:tr w:rsidR="006C6DBE" w:rsidRPr="005D12CB" w:rsidTr="00794AE4">
        <w:trPr>
          <w:trHeight w:hRule="exact" w:val="500"/>
        </w:trPr>
        <w:tc>
          <w:tcPr>
            <w:tcW w:w="2410" w:type="dxa"/>
            <w:vMerge/>
            <w:tcBorders>
              <w:top w:val="single" w:sz="6" w:space="0" w:color="auto"/>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4"/>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jc w:val="center"/>
              <w:rPr>
                <w:rFonts w:ascii="Times New Roman" w:hAnsi="Times New Roman" w:cs="Times New Roman"/>
                <w:sz w:val="24"/>
                <w:szCs w:val="24"/>
              </w:rPr>
            </w:pPr>
            <w:r w:rsidRPr="006C6DBE">
              <w:rPr>
                <w:rFonts w:ascii="Times New Roman" w:hAnsi="Times New Roman" w:cs="Times New Roman"/>
                <w:sz w:val="24"/>
                <w:szCs w:val="24"/>
                <w:shd w:val="clear" w:color="auto" w:fill="FFFFFF"/>
              </w:rPr>
              <w:t>"ХЕЛСІ ЛАБ»</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70</w:t>
            </w:r>
          </w:p>
        </w:tc>
      </w:tr>
      <w:tr w:rsidR="006C6DBE" w:rsidRPr="005D12CB" w:rsidTr="00794AE4">
        <w:trPr>
          <w:trHeight w:hRule="exact" w:val="500"/>
        </w:trPr>
        <w:tc>
          <w:tcPr>
            <w:tcW w:w="2410" w:type="dxa"/>
            <w:vMerge/>
            <w:tcBorders>
              <w:top w:val="single" w:sz="6" w:space="0" w:color="auto"/>
              <w:left w:val="single" w:sz="6"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4"/>
                <w:sz w:val="24"/>
                <w:szCs w:val="24"/>
              </w:rPr>
            </w:pPr>
          </w:p>
        </w:tc>
        <w:tc>
          <w:tcPr>
            <w:tcW w:w="3071"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jc w:val="center"/>
              <w:rPr>
                <w:rFonts w:ascii="Times New Roman" w:hAnsi="Times New Roman" w:cs="Times New Roman"/>
                <w:sz w:val="24"/>
                <w:szCs w:val="24"/>
                <w:shd w:val="clear" w:color="auto" w:fill="FFFFFF"/>
              </w:rPr>
            </w:pPr>
            <w:r w:rsidRPr="006C6DBE">
              <w:rPr>
                <w:rFonts w:ascii="Times New Roman" w:hAnsi="Times New Roman" w:cs="Times New Roman"/>
                <w:sz w:val="24"/>
                <w:szCs w:val="24"/>
                <w:shd w:val="clear" w:color="auto" w:fill="FFFFFF"/>
              </w:rPr>
              <w:t>«ХЕЛСІ ЛАБ»</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70</w:t>
            </w:r>
          </w:p>
        </w:tc>
      </w:tr>
      <w:tr w:rsidR="006C6DBE" w:rsidRPr="005D12CB" w:rsidTr="00794AE4">
        <w:trPr>
          <w:trHeight w:hRule="exact" w:val="500"/>
        </w:trPr>
        <w:tc>
          <w:tcPr>
            <w:tcW w:w="2410" w:type="dxa"/>
            <w:vMerge/>
            <w:tcBorders>
              <w:left w:val="single" w:sz="6" w:space="0" w:color="auto"/>
              <w:bottom w:val="single" w:sz="4"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4"/>
                <w:sz w:val="24"/>
                <w:szCs w:val="24"/>
              </w:rPr>
            </w:pPr>
          </w:p>
        </w:tc>
        <w:tc>
          <w:tcPr>
            <w:tcW w:w="3071" w:type="dxa"/>
            <w:tcBorders>
              <w:top w:val="single" w:sz="6"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jc w:val="center"/>
              <w:rPr>
                <w:rFonts w:ascii="Times New Roman" w:hAnsi="Times New Roman" w:cs="Times New Roman"/>
                <w:sz w:val="24"/>
                <w:szCs w:val="24"/>
                <w:shd w:val="clear" w:color="auto" w:fill="FFFFFF"/>
              </w:rPr>
            </w:pPr>
            <w:r w:rsidRPr="006C6DBE">
              <w:rPr>
                <w:rFonts w:ascii="Times New Roman" w:hAnsi="Times New Roman" w:cs="Times New Roman"/>
                <w:sz w:val="24"/>
                <w:szCs w:val="24"/>
                <w:shd w:val="clear" w:color="auto" w:fill="FFFFFF"/>
              </w:rPr>
              <w:t>«ХЕЛСІ ЕНД ХЕПІ»</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4 000</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p>
        </w:tc>
      </w:tr>
      <w:tr w:rsidR="006C6DBE" w:rsidRPr="005D12CB" w:rsidTr="00794AE4">
        <w:trPr>
          <w:trHeight w:hRule="exact" w:val="500"/>
        </w:trPr>
        <w:tc>
          <w:tcPr>
            <w:tcW w:w="2410" w:type="dxa"/>
            <w:vMerge/>
            <w:tcBorders>
              <w:left w:val="single" w:sz="6" w:space="0" w:color="auto"/>
              <w:bottom w:val="single" w:sz="4" w:space="0" w:color="auto"/>
              <w:right w:val="single" w:sz="6" w:space="0" w:color="auto"/>
            </w:tcBorders>
            <w:shd w:val="clear" w:color="auto" w:fill="FFFFFF"/>
          </w:tcPr>
          <w:p w:rsidR="006C6DBE" w:rsidRPr="006C6DBE" w:rsidRDefault="006C6DBE" w:rsidP="00794AE4">
            <w:pPr>
              <w:shd w:val="clear" w:color="auto" w:fill="FFFFFF"/>
              <w:spacing w:after="0" w:line="240" w:lineRule="auto"/>
              <w:ind w:right="130"/>
              <w:rPr>
                <w:rFonts w:ascii="Times New Roman" w:hAnsi="Times New Roman" w:cs="Times New Roman"/>
                <w:spacing w:val="-4"/>
                <w:sz w:val="24"/>
                <w:szCs w:val="24"/>
              </w:rPr>
            </w:pPr>
          </w:p>
        </w:tc>
        <w:tc>
          <w:tcPr>
            <w:tcW w:w="3071" w:type="dxa"/>
            <w:tcBorders>
              <w:top w:val="single" w:sz="6"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jc w:val="center"/>
              <w:rPr>
                <w:rFonts w:ascii="Times New Roman" w:hAnsi="Times New Roman" w:cs="Times New Roman"/>
                <w:sz w:val="24"/>
                <w:szCs w:val="24"/>
              </w:rPr>
            </w:pPr>
            <w:r w:rsidRPr="006C6DBE">
              <w:rPr>
                <w:rFonts w:ascii="Times New Roman" w:hAnsi="Times New Roman" w:cs="Times New Roman"/>
                <w:sz w:val="24"/>
                <w:szCs w:val="24"/>
                <w:shd w:val="clear" w:color="auto" w:fill="FFFFFF"/>
              </w:rPr>
              <w:t>"ХЕЛСІ ЕНД ХЕПІ"</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 xml:space="preserve">4 000  </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p>
        </w:tc>
      </w:tr>
      <w:tr w:rsidR="006C6DBE" w:rsidRPr="005D12CB" w:rsidTr="00794AE4">
        <w:trPr>
          <w:trHeight w:hRule="exact" w:val="627"/>
        </w:trPr>
        <w:tc>
          <w:tcPr>
            <w:tcW w:w="2410" w:type="dxa"/>
            <w:tcBorders>
              <w:top w:val="single" w:sz="4" w:space="0" w:color="auto"/>
              <w:left w:val="single" w:sz="4"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ind w:right="130"/>
              <w:rPr>
                <w:rFonts w:ascii="Times New Roman" w:hAnsi="Times New Roman" w:cs="Times New Roman"/>
                <w:spacing w:val="-3"/>
                <w:sz w:val="24"/>
                <w:szCs w:val="24"/>
              </w:rPr>
            </w:pPr>
            <w:r w:rsidRPr="006C6DBE">
              <w:rPr>
                <w:rFonts w:ascii="Times New Roman" w:hAnsi="Times New Roman" w:cs="Times New Roman"/>
                <w:noProof/>
                <w:sz w:val="24"/>
                <w:szCs w:val="24"/>
                <w:lang w:eastAsia="en-US"/>
              </w:rPr>
              <w:t>Продаж фінансових інвестицій</w:t>
            </w:r>
          </w:p>
        </w:tc>
        <w:tc>
          <w:tcPr>
            <w:tcW w:w="3071" w:type="dxa"/>
            <w:tcBorders>
              <w:top w:val="single" w:sz="4"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pacing w:val="-3"/>
                <w:sz w:val="24"/>
                <w:szCs w:val="24"/>
              </w:rPr>
            </w:pPr>
            <w:r w:rsidRPr="006C6DBE">
              <w:rPr>
                <w:rFonts w:ascii="Times New Roman" w:hAnsi="Times New Roman" w:cs="Times New Roman"/>
                <w:sz w:val="24"/>
                <w:szCs w:val="24"/>
              </w:rPr>
              <w:t xml:space="preserve">ПНВІФЗТ « Патріот 2» КУА ПАТРІОТ  </w:t>
            </w:r>
          </w:p>
        </w:tc>
        <w:tc>
          <w:tcPr>
            <w:tcW w:w="2126" w:type="dxa"/>
            <w:tcBorders>
              <w:top w:val="single" w:sz="4"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r w:rsidRPr="006C6DBE">
              <w:rPr>
                <w:rFonts w:ascii="Times New Roman" w:hAnsi="Times New Roman" w:cs="Times New Roman"/>
                <w:sz w:val="24"/>
                <w:szCs w:val="24"/>
              </w:rPr>
              <w:t>1 442,7</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6C6DBE" w:rsidRPr="006C6DBE" w:rsidRDefault="006C6DBE" w:rsidP="00794AE4">
            <w:pPr>
              <w:shd w:val="clear" w:color="auto" w:fill="FFFFFF"/>
              <w:spacing w:after="0" w:line="240" w:lineRule="auto"/>
              <w:jc w:val="center"/>
              <w:rPr>
                <w:rFonts w:ascii="Times New Roman" w:hAnsi="Times New Roman" w:cs="Times New Roman"/>
                <w:sz w:val="24"/>
                <w:szCs w:val="24"/>
              </w:rPr>
            </w:pPr>
          </w:p>
        </w:tc>
      </w:tr>
    </w:tbl>
    <w:p w:rsidR="006C6DBE" w:rsidRPr="005D12CB" w:rsidRDefault="006C6DBE" w:rsidP="006C6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Інших суттєвих операцій з пов’язаними сторонами протягом 2020 та 2021  року не відбувалось.</w:t>
      </w:r>
    </w:p>
    <w:p w:rsidR="006C6DBE" w:rsidRPr="005D12CB" w:rsidRDefault="006C6DBE" w:rsidP="006C6DBE">
      <w:pPr>
        <w:shd w:val="clear" w:color="auto" w:fill="FFFFFF"/>
        <w:spacing w:after="0" w:line="240" w:lineRule="auto"/>
        <w:jc w:val="both"/>
        <w:rPr>
          <w:rFonts w:ascii="Times New Roman" w:hAnsi="Times New Roman" w:cs="Times New Roman"/>
          <w:sz w:val="24"/>
          <w:szCs w:val="24"/>
        </w:rPr>
      </w:pPr>
    </w:p>
    <w:p w:rsidR="006C6DBE" w:rsidRPr="005D12CB" w:rsidRDefault="006C6DBE" w:rsidP="006C6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12CB">
        <w:rPr>
          <w:rFonts w:ascii="Times New Roman" w:hAnsi="Times New Roman" w:cs="Times New Roman"/>
          <w:b/>
          <w:sz w:val="24"/>
          <w:szCs w:val="24"/>
        </w:rPr>
        <w:t>7.2.  Умовні зобов'язання</w:t>
      </w:r>
    </w:p>
    <w:p w:rsidR="006C6DBE" w:rsidRPr="005D12CB" w:rsidRDefault="006C6DBE" w:rsidP="006C6DBE">
      <w:pPr>
        <w:shd w:val="clear" w:color="auto" w:fill="FFFFFF"/>
        <w:spacing w:after="0" w:line="240" w:lineRule="auto"/>
        <w:ind w:firstLine="708"/>
        <w:rPr>
          <w:rFonts w:ascii="Times New Roman" w:hAnsi="Times New Roman" w:cs="Times New Roman"/>
          <w:sz w:val="24"/>
          <w:szCs w:val="24"/>
        </w:rPr>
      </w:pPr>
      <w:r w:rsidRPr="005D12CB">
        <w:rPr>
          <w:rFonts w:ascii="Times New Roman" w:hAnsi="Times New Roman" w:cs="Times New Roman"/>
          <w:b/>
          <w:i/>
          <w:sz w:val="24"/>
          <w:szCs w:val="24"/>
        </w:rPr>
        <w:t>7.2.1. Оподаткування</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рівень ринковий цін.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6C6DBE" w:rsidRPr="005D12CB" w:rsidRDefault="006C6DBE" w:rsidP="006C6DBE">
      <w:pPr>
        <w:shd w:val="clear" w:color="auto" w:fill="FFFFFF"/>
        <w:spacing w:after="0" w:line="240" w:lineRule="auto"/>
        <w:ind w:left="708"/>
        <w:jc w:val="both"/>
        <w:rPr>
          <w:rFonts w:ascii="Times New Roman" w:hAnsi="Times New Roman" w:cs="Times New Roman"/>
          <w:sz w:val="24"/>
          <w:szCs w:val="24"/>
        </w:rPr>
      </w:pPr>
      <w:r w:rsidRPr="005D12CB">
        <w:rPr>
          <w:rFonts w:ascii="Times New Roman" w:hAnsi="Times New Roman" w:cs="Times New Roman"/>
          <w:b/>
          <w:i/>
          <w:sz w:val="24"/>
          <w:szCs w:val="24"/>
        </w:rPr>
        <w:t>7.2.2. Ступінь повернення дебіторської заборгованості та інших фінансових активів</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Товариства.</w:t>
      </w: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Ступінь повернення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 На думку керівництва Товариства, виходячи з наявних обставин та інформації, кредитний ризик для фінансових активів Товариством </w:t>
      </w:r>
      <w:r w:rsidRPr="005D12CB">
        <w:rPr>
          <w:rFonts w:ascii="Times New Roman" w:hAnsi="Times New Roman" w:cs="Times New Roman"/>
          <w:sz w:val="24"/>
          <w:szCs w:val="24"/>
          <w:u w:val="single"/>
        </w:rPr>
        <w:t>визначений як дуже низький</w:t>
      </w:r>
      <w:r w:rsidRPr="005D12CB">
        <w:rPr>
          <w:rFonts w:ascii="Times New Roman" w:hAnsi="Times New Roman" w:cs="Times New Roman"/>
          <w:sz w:val="24"/>
          <w:szCs w:val="24"/>
        </w:rPr>
        <w:t>, тому кредитний збиток не був визнаний при оцінці цих активів. Враховуючи той факт, що поточна дебіторська заборгованість відсутня на 31.12.2021 року очікуваний кредитний збиток Товариством визнаний при оцінці цього фінансового активу становить «0».</w:t>
      </w:r>
    </w:p>
    <w:p w:rsidR="006C6DBE" w:rsidRPr="005D12CB" w:rsidRDefault="006C6DBE" w:rsidP="006C6DBE">
      <w:pPr>
        <w:spacing w:after="0" w:line="240" w:lineRule="auto"/>
        <w:ind w:firstLine="708"/>
        <w:jc w:val="both"/>
        <w:rPr>
          <w:rFonts w:ascii="Times New Roman" w:hAnsi="Times New Roman" w:cs="Times New Roman"/>
          <w:sz w:val="10"/>
          <w:szCs w:val="10"/>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highlight w:val="yellow"/>
        </w:rPr>
      </w:pPr>
      <w:r w:rsidRPr="005D12CB">
        <w:rPr>
          <w:rFonts w:ascii="Times New Roman" w:hAnsi="Times New Roman" w:cs="Times New Roman"/>
          <w:b/>
          <w:i/>
          <w:sz w:val="24"/>
          <w:szCs w:val="24"/>
        </w:rPr>
        <w:t>7.3. Цілі, політики та процеси управління капіталом</w:t>
      </w:r>
    </w:p>
    <w:p w:rsidR="006C6DBE" w:rsidRPr="005D12CB" w:rsidRDefault="006C6DBE" w:rsidP="006C6DBE">
      <w:pPr>
        <w:spacing w:after="0" w:line="240" w:lineRule="auto"/>
        <w:jc w:val="both"/>
        <w:rPr>
          <w:rFonts w:ascii="Times New Roman" w:hAnsi="Times New Roman" w:cs="Times New Roman"/>
          <w:sz w:val="6"/>
          <w:szCs w:val="6"/>
          <w:highlight w:val="yellow"/>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Товариство здійснює управління капіталом з метою досягнення наступних цілей:</w:t>
      </w:r>
    </w:p>
    <w:p w:rsidR="006C6DBE" w:rsidRPr="005D12CB" w:rsidRDefault="006C6DBE" w:rsidP="006C6DBE">
      <w:pPr>
        <w:numPr>
          <w:ilvl w:val="0"/>
          <w:numId w:val="6"/>
        </w:num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зберегти    спроможність  Товариства   продовжувати   свою   діяльність  так,  щоб</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забезпечувати дохід для учасників Товариства  та  виплат  іншим  зацікавленим  сторонам;</w:t>
      </w:r>
    </w:p>
    <w:p w:rsidR="006C6DBE" w:rsidRPr="005D12CB" w:rsidRDefault="006C6DBE" w:rsidP="006C6DBE">
      <w:pPr>
        <w:numPr>
          <w:ilvl w:val="0"/>
          <w:numId w:val="6"/>
        </w:num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забезпечити належний прибуток учасникам Товариства завдяки встановленню цін</w:t>
      </w: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на послуги Товариства, що відповідають рівню ризику.</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Керівництво Товариства здійснює огляд структури капіталу на постійній основі. При цьому керівництво аналізує вартість капіталу та притаманні його складовим  ризики.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Домінуючими принципами управління капіталу є дотримання нормативних вимог, встановлених законодавством; забезпечення сталого нарощування активних операцій; якість капіталу; постійне вдосконалення системи управління ризиками.</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tabs>
          <w:tab w:val="left" w:pos="5785"/>
        </w:tabs>
        <w:spacing w:after="0" w:line="240" w:lineRule="auto"/>
        <w:ind w:firstLine="708"/>
        <w:rPr>
          <w:rFonts w:ascii="Times New Roman" w:hAnsi="Times New Roman" w:cs="Times New Roman"/>
          <w:sz w:val="26"/>
          <w:szCs w:val="26"/>
        </w:rPr>
      </w:pPr>
      <w:r w:rsidRPr="005D12CB">
        <w:rPr>
          <w:rFonts w:ascii="Times New Roman" w:hAnsi="Times New Roman" w:cs="Times New Roman"/>
          <w:b/>
          <w:sz w:val="26"/>
          <w:szCs w:val="26"/>
        </w:rPr>
        <w:t>8. Управління фінансовими ризиками</w:t>
      </w:r>
    </w:p>
    <w:p w:rsidR="006C6DBE" w:rsidRPr="005D12CB" w:rsidRDefault="006C6DBE" w:rsidP="006C6DBE">
      <w:pPr>
        <w:tabs>
          <w:tab w:val="left" w:pos="5785"/>
        </w:tabs>
        <w:spacing w:after="0" w:line="240" w:lineRule="auto"/>
        <w:ind w:firstLine="708"/>
        <w:rPr>
          <w:rFonts w:ascii="Times New Roman" w:hAnsi="Times New Roman" w:cs="Times New Roman"/>
          <w:sz w:val="26"/>
          <w:szCs w:val="26"/>
        </w:rPr>
      </w:pPr>
      <w:r w:rsidRPr="005D12CB">
        <w:rPr>
          <w:rFonts w:ascii="Times New Roman" w:hAnsi="Times New Roman" w:cs="Times New Roman"/>
          <w:b/>
          <w:sz w:val="26"/>
          <w:szCs w:val="26"/>
        </w:rPr>
        <w:tab/>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Основними ризиками, пов’язаними з фінансовими інструментами Товариства, є валютний, кредитний ризик та ризик концентрації та ризик ліквідності. Товариство переглядає та узгоджує політику щодо управління кожним з цих ризиків, як зазначено нижче.</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i/>
          <w:sz w:val="24"/>
          <w:szCs w:val="24"/>
        </w:rPr>
        <w:lastRenderedPageBreak/>
        <w:t>Чутливість до іноземних валют</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Більшість операцій Товариства проводиться в національній валюті України. Товариство не здійснює операції в іноземній валюті, тому Товариство не зазнає впливу коливань ринкових обмінних курсів на його фінансовий стан та грошові потоки. </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i/>
          <w:sz w:val="24"/>
          <w:szCs w:val="24"/>
        </w:rPr>
        <w:t>Чутливість до змін відсоткових ставок</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Залишок заборгованості за отриманими короткостроковими позиками станом на 31.12.2020 р. відсутній.</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i/>
          <w:sz w:val="24"/>
          <w:szCs w:val="24"/>
        </w:rPr>
        <w:t>Аналіз кредитного ризику</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Вплив кредитного ризику, тобто ризику невиконання контрагентами договірних зобов’язань, обмежується торговою дебіторською заборгованістю, фінансовими інвестиціями та залишками грошових коштів, як представлено нижче:</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(тис.грн)</w:t>
      </w:r>
    </w:p>
    <w:tbl>
      <w:tblPr>
        <w:tblW w:w="11335" w:type="dxa"/>
        <w:tblLayout w:type="fixed"/>
        <w:tblLook w:val="0000"/>
      </w:tblPr>
      <w:tblGrid>
        <w:gridCol w:w="5131"/>
        <w:gridCol w:w="2068"/>
        <w:gridCol w:w="2068"/>
        <w:gridCol w:w="2068"/>
      </w:tblGrid>
      <w:tr w:rsidR="006C6DBE" w:rsidRPr="005D12CB" w:rsidTr="00794AE4">
        <w:trPr>
          <w:trHeight w:val="100"/>
        </w:trPr>
        <w:tc>
          <w:tcPr>
            <w:tcW w:w="5131" w:type="dxa"/>
          </w:tcPr>
          <w:p w:rsidR="006C6DBE" w:rsidRPr="005D12CB" w:rsidRDefault="006C6DBE" w:rsidP="00794AE4">
            <w:pPr>
              <w:spacing w:after="0" w:line="240" w:lineRule="auto"/>
              <w:ind w:firstLine="708"/>
              <w:jc w:val="both"/>
              <w:rPr>
                <w:rFonts w:ascii="Times New Roman" w:hAnsi="Times New Roman" w:cs="Times New Roman"/>
                <w:sz w:val="24"/>
                <w:szCs w:val="24"/>
              </w:rPr>
            </w:pPr>
          </w:p>
        </w:tc>
        <w:tc>
          <w:tcPr>
            <w:tcW w:w="206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31 грудня 2020</w:t>
            </w:r>
          </w:p>
        </w:tc>
        <w:tc>
          <w:tcPr>
            <w:tcW w:w="206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31 грудня 2021</w:t>
            </w:r>
          </w:p>
        </w:tc>
        <w:tc>
          <w:tcPr>
            <w:tcW w:w="2068" w:type="dxa"/>
          </w:tcPr>
          <w:p w:rsidR="006C6DBE" w:rsidRPr="005D12CB" w:rsidRDefault="006C6DBE" w:rsidP="00794AE4">
            <w:pPr>
              <w:spacing w:after="0" w:line="240" w:lineRule="auto"/>
              <w:jc w:val="both"/>
              <w:rPr>
                <w:rFonts w:ascii="Times New Roman" w:hAnsi="Times New Roman" w:cs="Times New Roman"/>
                <w:sz w:val="24"/>
                <w:szCs w:val="24"/>
              </w:rPr>
            </w:pPr>
          </w:p>
        </w:tc>
      </w:tr>
      <w:tr w:rsidR="006C6DBE" w:rsidRPr="005D12CB" w:rsidTr="00794AE4">
        <w:trPr>
          <w:trHeight w:val="100"/>
        </w:trPr>
        <w:tc>
          <w:tcPr>
            <w:tcW w:w="5131" w:type="dxa"/>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Довгострокові фінансові інвестиції</w:t>
            </w:r>
          </w:p>
        </w:tc>
        <w:tc>
          <w:tcPr>
            <w:tcW w:w="2068" w:type="dxa"/>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1 433</w:t>
            </w:r>
          </w:p>
        </w:tc>
        <w:tc>
          <w:tcPr>
            <w:tcW w:w="2068"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              -</w:t>
            </w:r>
          </w:p>
        </w:tc>
        <w:tc>
          <w:tcPr>
            <w:tcW w:w="2068" w:type="dxa"/>
          </w:tcPr>
          <w:p w:rsidR="006C6DBE" w:rsidRPr="005D12CB" w:rsidRDefault="006C6DBE" w:rsidP="00794AE4">
            <w:pPr>
              <w:spacing w:after="0" w:line="240" w:lineRule="auto"/>
              <w:ind w:firstLine="708"/>
              <w:jc w:val="both"/>
              <w:rPr>
                <w:rFonts w:ascii="Times New Roman" w:hAnsi="Times New Roman" w:cs="Times New Roman"/>
                <w:sz w:val="24"/>
                <w:szCs w:val="24"/>
              </w:rPr>
            </w:pPr>
          </w:p>
        </w:tc>
      </w:tr>
      <w:tr w:rsidR="006C6DBE" w:rsidRPr="005D12CB" w:rsidTr="00794AE4">
        <w:trPr>
          <w:trHeight w:val="100"/>
        </w:trPr>
        <w:tc>
          <w:tcPr>
            <w:tcW w:w="5131" w:type="dxa"/>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Дебіторська заборгованість, чиста</w:t>
            </w:r>
          </w:p>
        </w:tc>
        <w:tc>
          <w:tcPr>
            <w:tcW w:w="2068" w:type="dxa"/>
            <w:vAlign w:val="center"/>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3 806</w:t>
            </w:r>
          </w:p>
        </w:tc>
        <w:tc>
          <w:tcPr>
            <w:tcW w:w="2068" w:type="dxa"/>
            <w:vAlign w:val="center"/>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4 833</w:t>
            </w:r>
          </w:p>
        </w:tc>
        <w:tc>
          <w:tcPr>
            <w:tcW w:w="2068" w:type="dxa"/>
          </w:tcPr>
          <w:p w:rsidR="006C6DBE" w:rsidRPr="005D12CB" w:rsidRDefault="006C6DBE" w:rsidP="00794AE4">
            <w:pPr>
              <w:spacing w:after="0" w:line="240" w:lineRule="auto"/>
              <w:ind w:firstLine="708"/>
              <w:jc w:val="both"/>
              <w:rPr>
                <w:rFonts w:ascii="Times New Roman" w:hAnsi="Times New Roman" w:cs="Times New Roman"/>
                <w:sz w:val="24"/>
                <w:szCs w:val="24"/>
              </w:rPr>
            </w:pPr>
          </w:p>
        </w:tc>
      </w:tr>
      <w:tr w:rsidR="006C6DBE" w:rsidRPr="005D12CB" w:rsidTr="00794AE4">
        <w:trPr>
          <w:trHeight w:val="100"/>
        </w:trPr>
        <w:tc>
          <w:tcPr>
            <w:tcW w:w="5131" w:type="dxa"/>
            <w:tcBorders>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Грошові кошти та їх еквіваленти</w:t>
            </w:r>
          </w:p>
        </w:tc>
        <w:tc>
          <w:tcPr>
            <w:tcW w:w="2068" w:type="dxa"/>
            <w:tcBorders>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3 366</w:t>
            </w:r>
          </w:p>
        </w:tc>
        <w:tc>
          <w:tcPr>
            <w:tcW w:w="2068" w:type="dxa"/>
            <w:tcBorders>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2 463</w:t>
            </w:r>
          </w:p>
        </w:tc>
        <w:tc>
          <w:tcPr>
            <w:tcW w:w="2068" w:type="dxa"/>
            <w:tcBorders>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p>
        </w:tc>
      </w:tr>
      <w:tr w:rsidR="006C6DBE" w:rsidRPr="005D12CB" w:rsidTr="00794AE4">
        <w:trPr>
          <w:trHeight w:val="100"/>
        </w:trPr>
        <w:tc>
          <w:tcPr>
            <w:tcW w:w="5131"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Всього</w:t>
            </w:r>
          </w:p>
        </w:tc>
        <w:tc>
          <w:tcPr>
            <w:tcW w:w="2068"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12 295</w:t>
            </w:r>
          </w:p>
        </w:tc>
        <w:tc>
          <w:tcPr>
            <w:tcW w:w="2068"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7 296</w:t>
            </w:r>
          </w:p>
        </w:tc>
        <w:tc>
          <w:tcPr>
            <w:tcW w:w="2068"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p>
        </w:tc>
      </w:tr>
    </w:tbl>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здійснює постійний моніторинг невиконання зобов’язань клієнтами та іншими контрагентами, визначених на індивідуальній основі, та вводить цю інформацію в свої процедури контролю кредитного ризику.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Концентрація кредитного ризику обмежується тому, що база клієнтів досить велика та несуттєва за окремими сумами.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Кредитний ризик для грошових коштів, що розміщені на рахунках банків, є незначним, оскільки Товариство розміщує депозити в  банках з високою репутацією та зовнішніми кредитними рейтингами, що підтверджують їх високу якість.</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jc w:val="both"/>
      </w:pPr>
      <w:r w:rsidRPr="005D12CB">
        <w:rPr>
          <w:rFonts w:ascii="Times New Roman" w:hAnsi="Times New Roman" w:cs="Times New Roman"/>
          <w:i/>
          <w:sz w:val="24"/>
          <w:szCs w:val="24"/>
        </w:rPr>
        <w:t>Ризик управління капіталом</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Товариство розглядає позики і акціонерний капітал як основне джерело фінансування. Головною метою управління капіталом Товариства є підтримка достатньої кредитоспроможності та коефіцієнтів забезпеченості власними коштами з метою збереження можливості Товариства продовжувати свою діяльність. Товариство здійснює контроль капіталу за допомогою коефіцієнта фінансового важеля, який розраховується як співвідношення чистих зобов’язань до суми акціонерного капіталу та чистих зобов’язань.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Політика Товариства стосовно управління капіталом націлена на забезпечення і підтримку оптимальної структури капіталу для зменшення загальних витрат на капітал та гнучкості, необхідних для доступу Товариства до ринків капіталу.</w:t>
      </w:r>
    </w:p>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i/>
          <w:sz w:val="24"/>
          <w:szCs w:val="24"/>
        </w:rPr>
        <w:t>Аналіз ризику ліквідності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Зважене управління ліквідністю передбачає наявність достатніх грошових коштів та достатність фінансування для виконання чинних зобов’язань по мірі їх настання. Метою Товариства є підтримання балансу між безперервністю фінансування та гнучкістю у використанні кредитних умов, наданих, в основному, постачальниками та банками. Передоплати зазвичай використовуються для управління як ризиком ліквідності, так і кредитним ризиком. Товариство аналізує свої активи та зобов’язання за їх строками та планує свою ліквідність, залежно від очікуваних строків виконання зобов’язань за відповідними інструментами. У разі недостатньої або надмірної ліквідності Товариство перерозподіляє ресурси для досягнення оптимального фінансування своєї діяльності. Основним джерелом коштів Товариства були кошти отримані від операційної діяльності.</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lastRenderedPageBreak/>
        <w:t>Станом на 31 грудня 2021 контрактні строки погашення зобов’язань Товариства такі, як узагальнено нижче:</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(тис.грн)</w:t>
      </w:r>
    </w:p>
    <w:tbl>
      <w:tblPr>
        <w:tblW w:w="10193" w:type="dxa"/>
        <w:tblLayout w:type="fixed"/>
        <w:tblLook w:val="0000"/>
      </w:tblPr>
      <w:tblGrid>
        <w:gridCol w:w="4679"/>
        <w:gridCol w:w="1621"/>
        <w:gridCol w:w="1321"/>
        <w:gridCol w:w="1396"/>
        <w:gridCol w:w="1176"/>
      </w:tblGrid>
      <w:tr w:rsidR="006C6DBE" w:rsidRPr="005D12CB" w:rsidTr="00794AE4">
        <w:trPr>
          <w:trHeight w:val="100"/>
        </w:trPr>
        <w:tc>
          <w:tcPr>
            <w:tcW w:w="4679" w:type="dxa"/>
          </w:tcPr>
          <w:p w:rsidR="006C6DBE" w:rsidRPr="005D12CB" w:rsidRDefault="006C6DBE" w:rsidP="00794AE4">
            <w:pPr>
              <w:spacing w:after="0" w:line="240" w:lineRule="auto"/>
              <w:ind w:firstLine="708"/>
              <w:jc w:val="both"/>
              <w:rPr>
                <w:rFonts w:ascii="Times New Roman" w:hAnsi="Times New Roman" w:cs="Times New Roman"/>
                <w:sz w:val="24"/>
                <w:szCs w:val="24"/>
              </w:rPr>
            </w:pPr>
          </w:p>
        </w:tc>
        <w:tc>
          <w:tcPr>
            <w:tcW w:w="1621"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Протягом 1 року</w:t>
            </w:r>
          </w:p>
        </w:tc>
        <w:tc>
          <w:tcPr>
            <w:tcW w:w="1321"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Через 1-3 роки</w:t>
            </w:r>
          </w:p>
        </w:tc>
        <w:tc>
          <w:tcPr>
            <w:tcW w:w="1396"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Через 3-5 роки</w:t>
            </w:r>
          </w:p>
        </w:tc>
        <w:tc>
          <w:tcPr>
            <w:tcW w:w="1176"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Після 5 років</w:t>
            </w:r>
          </w:p>
        </w:tc>
      </w:tr>
      <w:tr w:rsidR="006C6DBE" w:rsidRPr="005D12CB" w:rsidTr="00794AE4">
        <w:trPr>
          <w:trHeight w:val="491"/>
        </w:trPr>
        <w:tc>
          <w:tcPr>
            <w:tcW w:w="4679" w:type="dxa"/>
          </w:tcPr>
          <w:p w:rsidR="006C6DBE" w:rsidRPr="005D12CB" w:rsidRDefault="006C6DBE" w:rsidP="00794AE4">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Торговельна кредиторська заборгованість та інша поточна заборгованість</w:t>
            </w:r>
          </w:p>
        </w:tc>
        <w:tc>
          <w:tcPr>
            <w:tcW w:w="1621" w:type="dxa"/>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1 326</w:t>
            </w:r>
          </w:p>
        </w:tc>
        <w:tc>
          <w:tcPr>
            <w:tcW w:w="1321" w:type="dxa"/>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w:t>
            </w:r>
          </w:p>
        </w:tc>
        <w:tc>
          <w:tcPr>
            <w:tcW w:w="1396" w:type="dxa"/>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w:t>
            </w:r>
          </w:p>
        </w:tc>
        <w:tc>
          <w:tcPr>
            <w:tcW w:w="1176" w:type="dxa"/>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w:t>
            </w:r>
          </w:p>
        </w:tc>
      </w:tr>
      <w:tr w:rsidR="006C6DBE" w:rsidRPr="005D12CB" w:rsidTr="00794AE4">
        <w:trPr>
          <w:trHeight w:val="100"/>
        </w:trPr>
        <w:tc>
          <w:tcPr>
            <w:tcW w:w="4679"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Всього</w:t>
            </w:r>
          </w:p>
        </w:tc>
        <w:tc>
          <w:tcPr>
            <w:tcW w:w="1621"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1 326</w:t>
            </w:r>
          </w:p>
        </w:tc>
        <w:tc>
          <w:tcPr>
            <w:tcW w:w="1321"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w:t>
            </w:r>
          </w:p>
        </w:tc>
        <w:tc>
          <w:tcPr>
            <w:tcW w:w="1396"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w:t>
            </w:r>
          </w:p>
        </w:tc>
        <w:tc>
          <w:tcPr>
            <w:tcW w:w="1176" w:type="dxa"/>
            <w:tcBorders>
              <w:top w:val="single" w:sz="4" w:space="0" w:color="000000"/>
              <w:bottom w:val="single" w:sz="4" w:space="0" w:color="000000"/>
            </w:tcBorders>
          </w:tcPr>
          <w:p w:rsidR="006C6DBE" w:rsidRPr="005D12CB" w:rsidRDefault="006C6DBE" w:rsidP="00794AE4">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w:t>
            </w:r>
          </w:p>
        </w:tc>
      </w:tr>
    </w:tbl>
    <w:p w:rsidR="006C6DBE" w:rsidRPr="005D12CB" w:rsidRDefault="006C6DBE" w:rsidP="006C6DBE">
      <w:pPr>
        <w:spacing w:after="0" w:line="240" w:lineRule="auto"/>
        <w:ind w:firstLine="708"/>
        <w:jc w:val="both"/>
        <w:rPr>
          <w:rFonts w:ascii="Times New Roman" w:hAnsi="Times New Roman" w:cs="Times New Roman"/>
          <w:sz w:val="24"/>
          <w:szCs w:val="24"/>
        </w:rPr>
      </w:pP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Управлінський персонал вважає, що операційні грошові потоки достатні для фінансування поточних операцій Товариства.</w:t>
      </w:r>
    </w:p>
    <w:p w:rsidR="006C6DBE" w:rsidRPr="005D12CB" w:rsidRDefault="006C6DBE" w:rsidP="006C6DBE">
      <w:pPr>
        <w:spacing w:after="0" w:line="240" w:lineRule="auto"/>
        <w:ind w:firstLine="708"/>
        <w:jc w:val="both"/>
        <w:rPr>
          <w:rFonts w:ascii="Times New Roman" w:hAnsi="Times New Roman" w:cs="Times New Roman"/>
          <w:sz w:val="24"/>
          <w:szCs w:val="24"/>
        </w:rPr>
      </w:pPr>
      <w:bookmarkStart w:id="2" w:name="_heading=h.30j0zll" w:colFirst="0" w:colLast="0"/>
      <w:bookmarkEnd w:id="2"/>
    </w:p>
    <w:p w:rsidR="006C6DBE" w:rsidRPr="005D12CB" w:rsidRDefault="006C6DBE" w:rsidP="006C6DBE">
      <w:pPr>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Основні категорії фінансових інструментів представлені таким чином:</w:t>
      </w:r>
    </w:p>
    <w:tbl>
      <w:tblPr>
        <w:tblW w:w="9625" w:type="dxa"/>
        <w:tblLayout w:type="fixed"/>
        <w:tblLook w:val="0000"/>
      </w:tblPr>
      <w:tblGrid>
        <w:gridCol w:w="5386"/>
        <w:gridCol w:w="1134"/>
        <w:gridCol w:w="1395"/>
        <w:gridCol w:w="270"/>
        <w:gridCol w:w="1440"/>
      </w:tblGrid>
      <w:tr w:rsidR="006C6DBE" w:rsidRPr="005D12CB" w:rsidTr="00794AE4">
        <w:tc>
          <w:tcPr>
            <w:tcW w:w="5386" w:type="dxa"/>
          </w:tcPr>
          <w:p w:rsidR="006C6DBE" w:rsidRPr="005D12CB" w:rsidRDefault="006C6DBE" w:rsidP="00794AE4">
            <w:pPr>
              <w:spacing w:after="0" w:line="240" w:lineRule="auto"/>
              <w:ind w:right="-1525" w:hanging="108"/>
              <w:jc w:val="both"/>
            </w:pPr>
          </w:p>
        </w:tc>
        <w:tc>
          <w:tcPr>
            <w:tcW w:w="1134" w:type="dxa"/>
          </w:tcPr>
          <w:p w:rsidR="006C6DBE" w:rsidRPr="005D12CB" w:rsidRDefault="006C6DBE" w:rsidP="00794AE4">
            <w:pPr>
              <w:keepNext/>
              <w:keepLines/>
              <w:spacing w:after="0" w:line="240" w:lineRule="auto"/>
              <w:ind w:left="-108" w:right="-108"/>
              <w:jc w:val="center"/>
            </w:pPr>
            <w:r w:rsidRPr="005D12CB">
              <w:rPr>
                <w:b/>
              </w:rPr>
              <w:t>Примітка</w:t>
            </w:r>
          </w:p>
        </w:tc>
        <w:tc>
          <w:tcPr>
            <w:tcW w:w="1395" w:type="dxa"/>
            <w:tcBorders>
              <w:bottom w:val="single" w:sz="6" w:space="0" w:color="000000"/>
            </w:tcBorders>
          </w:tcPr>
          <w:p w:rsidR="006C6DBE" w:rsidRPr="005D12CB" w:rsidRDefault="006C6DBE" w:rsidP="00794AE4">
            <w:pPr>
              <w:spacing w:after="0" w:line="240" w:lineRule="auto"/>
              <w:ind w:left="-74"/>
              <w:jc w:val="right"/>
            </w:pPr>
            <w:r w:rsidRPr="005D12CB">
              <w:rPr>
                <w:b/>
              </w:rPr>
              <w:t>31 грудня 2021 року</w:t>
            </w:r>
          </w:p>
        </w:tc>
        <w:tc>
          <w:tcPr>
            <w:tcW w:w="270" w:type="dxa"/>
          </w:tcPr>
          <w:p w:rsidR="006C6DBE" w:rsidRPr="005D12CB" w:rsidRDefault="006C6DBE" w:rsidP="00794AE4">
            <w:pPr>
              <w:spacing w:after="0" w:line="240" w:lineRule="auto"/>
              <w:ind w:left="-107"/>
              <w:jc w:val="right"/>
            </w:pPr>
          </w:p>
        </w:tc>
        <w:tc>
          <w:tcPr>
            <w:tcW w:w="1440" w:type="dxa"/>
            <w:tcBorders>
              <w:bottom w:val="single" w:sz="6" w:space="0" w:color="000000"/>
            </w:tcBorders>
          </w:tcPr>
          <w:p w:rsidR="006C6DBE" w:rsidRPr="005D12CB" w:rsidRDefault="006C6DBE" w:rsidP="00794AE4">
            <w:pPr>
              <w:spacing w:after="0" w:line="240" w:lineRule="auto"/>
              <w:ind w:left="-74"/>
              <w:jc w:val="right"/>
            </w:pPr>
            <w:r w:rsidRPr="005D12CB">
              <w:rPr>
                <w:b/>
              </w:rPr>
              <w:t>31 грудня 2020 року</w:t>
            </w:r>
          </w:p>
        </w:tc>
      </w:tr>
      <w:tr w:rsidR="006C6DBE" w:rsidRPr="005D12CB" w:rsidTr="00794AE4">
        <w:tc>
          <w:tcPr>
            <w:tcW w:w="5386" w:type="dxa"/>
          </w:tcPr>
          <w:p w:rsidR="006C6DBE" w:rsidRPr="005D12CB" w:rsidRDefault="006C6DBE" w:rsidP="00794AE4">
            <w:pPr>
              <w:spacing w:after="0" w:line="240" w:lineRule="auto"/>
              <w:ind w:hanging="108"/>
              <w:jc w:val="both"/>
            </w:pPr>
          </w:p>
        </w:tc>
        <w:tc>
          <w:tcPr>
            <w:tcW w:w="1134" w:type="dxa"/>
          </w:tcPr>
          <w:p w:rsidR="006C6DBE" w:rsidRPr="005D12CB" w:rsidRDefault="006C6DBE" w:rsidP="00794AE4">
            <w:pPr>
              <w:spacing w:after="0" w:line="240" w:lineRule="auto"/>
              <w:jc w:val="center"/>
            </w:pPr>
          </w:p>
        </w:tc>
        <w:tc>
          <w:tcPr>
            <w:tcW w:w="1395" w:type="dxa"/>
            <w:tcBorders>
              <w:top w:val="single" w:sz="6" w:space="0" w:color="000000"/>
            </w:tcBorders>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Borders>
              <w:top w:val="single" w:sz="6" w:space="0" w:color="000000"/>
            </w:tcBorders>
          </w:tcPr>
          <w:p w:rsidR="006C6DBE" w:rsidRPr="005D12CB" w:rsidRDefault="006C6DBE" w:rsidP="00794AE4">
            <w:pPr>
              <w:spacing w:after="0" w:line="240" w:lineRule="auto"/>
              <w:jc w:val="right"/>
            </w:pPr>
          </w:p>
        </w:tc>
      </w:tr>
      <w:tr w:rsidR="006C6DBE" w:rsidRPr="005D12CB" w:rsidTr="00794AE4">
        <w:tc>
          <w:tcPr>
            <w:tcW w:w="5386" w:type="dxa"/>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Довгострокова дебіторська заборгованість</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r w:rsidRPr="005D12CB">
              <w:t>0</w:t>
            </w:r>
          </w:p>
        </w:tc>
        <w:tc>
          <w:tcPr>
            <w:tcW w:w="270" w:type="dxa"/>
          </w:tcPr>
          <w:p w:rsidR="006C6DBE" w:rsidRPr="005D12CB" w:rsidRDefault="006C6DBE" w:rsidP="00794AE4">
            <w:pPr>
              <w:spacing w:after="0" w:line="240" w:lineRule="auto"/>
              <w:jc w:val="center"/>
            </w:pPr>
          </w:p>
        </w:tc>
        <w:tc>
          <w:tcPr>
            <w:tcW w:w="1440" w:type="dxa"/>
          </w:tcPr>
          <w:p w:rsidR="006C6DBE" w:rsidRPr="005D12CB" w:rsidRDefault="006C6DBE" w:rsidP="00794AE4">
            <w:pPr>
              <w:spacing w:after="0" w:line="240" w:lineRule="auto"/>
              <w:jc w:val="right"/>
            </w:pPr>
            <w:r w:rsidRPr="005D12CB">
              <w:t>0</w:t>
            </w:r>
          </w:p>
        </w:tc>
      </w:tr>
      <w:tr w:rsidR="006C6DBE" w:rsidRPr="005D12CB" w:rsidTr="00794AE4">
        <w:tc>
          <w:tcPr>
            <w:tcW w:w="5386" w:type="dxa"/>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Дебіторська заборгованість за продукцію, товари, роботи, послуги</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r w:rsidRPr="005D12CB">
              <w:t>2 002</w:t>
            </w:r>
          </w:p>
        </w:tc>
        <w:tc>
          <w:tcPr>
            <w:tcW w:w="270" w:type="dxa"/>
          </w:tcPr>
          <w:p w:rsidR="006C6DBE" w:rsidRPr="005D12CB" w:rsidRDefault="006C6DBE" w:rsidP="00794AE4">
            <w:pPr>
              <w:spacing w:after="0" w:line="240" w:lineRule="auto"/>
              <w:jc w:val="right"/>
            </w:pPr>
          </w:p>
        </w:tc>
        <w:tc>
          <w:tcPr>
            <w:tcW w:w="1440" w:type="dxa"/>
          </w:tcPr>
          <w:p w:rsidR="006C6DBE" w:rsidRPr="005D12CB" w:rsidRDefault="006C6DBE" w:rsidP="00794AE4">
            <w:pPr>
              <w:spacing w:after="0" w:line="240" w:lineRule="auto"/>
              <w:jc w:val="right"/>
            </w:pPr>
            <w:r w:rsidRPr="005D12CB">
              <w:t>1 564</w:t>
            </w:r>
          </w:p>
        </w:tc>
      </w:tr>
      <w:tr w:rsidR="006C6DBE" w:rsidRPr="005D12CB" w:rsidTr="00794AE4">
        <w:tc>
          <w:tcPr>
            <w:tcW w:w="5386" w:type="dxa"/>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Інша поточна дебіторська заборгованість</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r w:rsidRPr="005D12CB">
              <w:t>2 831</w:t>
            </w:r>
          </w:p>
        </w:tc>
        <w:tc>
          <w:tcPr>
            <w:tcW w:w="270" w:type="dxa"/>
          </w:tcPr>
          <w:p w:rsidR="006C6DBE" w:rsidRPr="005D12CB" w:rsidRDefault="006C6DBE" w:rsidP="00794AE4">
            <w:pPr>
              <w:spacing w:after="0" w:line="240" w:lineRule="auto"/>
              <w:jc w:val="right"/>
            </w:pPr>
          </w:p>
        </w:tc>
        <w:tc>
          <w:tcPr>
            <w:tcW w:w="1440" w:type="dxa"/>
          </w:tcPr>
          <w:p w:rsidR="006C6DBE" w:rsidRPr="005D12CB" w:rsidRDefault="006C6DBE" w:rsidP="00794AE4">
            <w:pPr>
              <w:spacing w:after="0" w:line="240" w:lineRule="auto"/>
              <w:jc w:val="right"/>
            </w:pPr>
            <w:r w:rsidRPr="005D12CB">
              <w:t>2 242</w:t>
            </w:r>
          </w:p>
        </w:tc>
      </w:tr>
      <w:tr w:rsidR="006C6DBE" w:rsidRPr="005D12CB" w:rsidTr="00794AE4">
        <w:tc>
          <w:tcPr>
            <w:tcW w:w="5386" w:type="dxa"/>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 xml:space="preserve">Гроші та їх еквіваленти </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r w:rsidRPr="005D12CB">
              <w:t>11 468</w:t>
            </w:r>
          </w:p>
        </w:tc>
        <w:tc>
          <w:tcPr>
            <w:tcW w:w="270" w:type="dxa"/>
          </w:tcPr>
          <w:p w:rsidR="006C6DBE" w:rsidRPr="005D12CB" w:rsidRDefault="006C6DBE" w:rsidP="00794AE4">
            <w:pPr>
              <w:spacing w:after="0" w:line="240" w:lineRule="auto"/>
              <w:jc w:val="right"/>
            </w:pPr>
          </w:p>
        </w:tc>
        <w:tc>
          <w:tcPr>
            <w:tcW w:w="1440" w:type="dxa"/>
          </w:tcPr>
          <w:p w:rsidR="006C6DBE" w:rsidRPr="005D12CB" w:rsidRDefault="006C6DBE" w:rsidP="00794AE4">
            <w:pPr>
              <w:spacing w:after="0" w:line="240" w:lineRule="auto"/>
              <w:jc w:val="right"/>
            </w:pPr>
            <w:r w:rsidRPr="005D12CB">
              <w:t>17 371</w:t>
            </w:r>
          </w:p>
        </w:tc>
      </w:tr>
      <w:tr w:rsidR="006C6DBE" w:rsidRPr="005D12CB" w:rsidTr="00794AE4">
        <w:tc>
          <w:tcPr>
            <w:tcW w:w="5386" w:type="dxa"/>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Інші оборотні активи</w:t>
            </w:r>
          </w:p>
        </w:tc>
        <w:tc>
          <w:tcPr>
            <w:tcW w:w="1134" w:type="dxa"/>
          </w:tcPr>
          <w:p w:rsidR="006C6DBE" w:rsidRPr="005D12CB" w:rsidRDefault="006C6DBE" w:rsidP="00794AE4">
            <w:pPr>
              <w:spacing w:after="0" w:line="240" w:lineRule="auto"/>
              <w:jc w:val="center"/>
            </w:pPr>
          </w:p>
        </w:tc>
        <w:tc>
          <w:tcPr>
            <w:tcW w:w="1395" w:type="dxa"/>
            <w:tcBorders>
              <w:bottom w:val="single" w:sz="6" w:space="0" w:color="000000"/>
            </w:tcBorders>
          </w:tcPr>
          <w:p w:rsidR="006C6DBE" w:rsidRPr="005D12CB" w:rsidRDefault="006C6DBE" w:rsidP="00794AE4">
            <w:pPr>
              <w:spacing w:after="0" w:line="240" w:lineRule="auto"/>
              <w:jc w:val="right"/>
            </w:pPr>
            <w:r w:rsidRPr="005D12CB">
              <w:t>27</w:t>
            </w:r>
          </w:p>
        </w:tc>
        <w:tc>
          <w:tcPr>
            <w:tcW w:w="270" w:type="dxa"/>
          </w:tcPr>
          <w:p w:rsidR="006C6DBE" w:rsidRPr="005D12CB" w:rsidRDefault="006C6DBE" w:rsidP="00794AE4">
            <w:pPr>
              <w:spacing w:after="0" w:line="240" w:lineRule="auto"/>
              <w:jc w:val="right"/>
            </w:pPr>
          </w:p>
        </w:tc>
        <w:tc>
          <w:tcPr>
            <w:tcW w:w="1440" w:type="dxa"/>
            <w:tcBorders>
              <w:bottom w:val="single" w:sz="6" w:space="0" w:color="000000"/>
            </w:tcBorders>
          </w:tcPr>
          <w:p w:rsidR="006C6DBE" w:rsidRPr="005D12CB" w:rsidRDefault="006C6DBE" w:rsidP="00794AE4">
            <w:pPr>
              <w:spacing w:after="0" w:line="240" w:lineRule="auto"/>
              <w:jc w:val="right"/>
            </w:pPr>
            <w:r w:rsidRPr="005D12CB">
              <w:t>15</w:t>
            </w:r>
          </w:p>
        </w:tc>
      </w:tr>
      <w:tr w:rsidR="006C6DBE" w:rsidRPr="005D12CB" w:rsidTr="00794AE4">
        <w:tc>
          <w:tcPr>
            <w:tcW w:w="5386" w:type="dxa"/>
          </w:tcPr>
          <w:p w:rsidR="006C6DBE" w:rsidRPr="005D12CB" w:rsidRDefault="006C6DBE" w:rsidP="00794AE4">
            <w:pPr>
              <w:spacing w:after="0" w:line="240" w:lineRule="auto"/>
              <w:ind w:hanging="108"/>
              <w:jc w:val="both"/>
            </w:pPr>
          </w:p>
        </w:tc>
        <w:tc>
          <w:tcPr>
            <w:tcW w:w="1134" w:type="dxa"/>
          </w:tcPr>
          <w:p w:rsidR="006C6DBE" w:rsidRPr="005D12CB" w:rsidRDefault="006C6DBE" w:rsidP="00794AE4">
            <w:pPr>
              <w:spacing w:after="0" w:line="240" w:lineRule="auto"/>
              <w:jc w:val="center"/>
            </w:pPr>
          </w:p>
        </w:tc>
        <w:tc>
          <w:tcPr>
            <w:tcW w:w="1395" w:type="dxa"/>
            <w:tcBorders>
              <w:top w:val="single" w:sz="6" w:space="0" w:color="000000"/>
            </w:tcBorders>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Borders>
              <w:top w:val="single" w:sz="6" w:space="0" w:color="000000"/>
            </w:tcBorders>
          </w:tcPr>
          <w:p w:rsidR="006C6DBE" w:rsidRPr="005D12CB" w:rsidRDefault="006C6DBE" w:rsidP="00794AE4">
            <w:pPr>
              <w:spacing w:after="0" w:line="240" w:lineRule="auto"/>
              <w:jc w:val="right"/>
            </w:pPr>
          </w:p>
        </w:tc>
      </w:tr>
      <w:tr w:rsidR="006C6DBE" w:rsidRPr="005D12CB" w:rsidTr="00794AE4">
        <w:tc>
          <w:tcPr>
            <w:tcW w:w="5386" w:type="dxa"/>
          </w:tcPr>
          <w:p w:rsidR="006C6DBE" w:rsidRPr="005D12CB" w:rsidRDefault="006C6DBE" w:rsidP="00794AE4">
            <w:pPr>
              <w:spacing w:after="0" w:line="240" w:lineRule="auto"/>
              <w:ind w:hanging="108"/>
              <w:jc w:val="both"/>
            </w:pPr>
            <w:r w:rsidRPr="005D12CB">
              <w:rPr>
                <w:rFonts w:ascii="Times New Roman" w:hAnsi="Times New Roman" w:cs="Times New Roman"/>
                <w:b/>
                <w:sz w:val="24"/>
                <w:szCs w:val="24"/>
              </w:rPr>
              <w:t>Всього фінансових активів</w:t>
            </w:r>
          </w:p>
        </w:tc>
        <w:tc>
          <w:tcPr>
            <w:tcW w:w="1134" w:type="dxa"/>
          </w:tcPr>
          <w:p w:rsidR="006C6DBE" w:rsidRPr="005D12CB" w:rsidRDefault="006C6DBE" w:rsidP="00794AE4">
            <w:pPr>
              <w:spacing w:after="0" w:line="240" w:lineRule="auto"/>
              <w:jc w:val="center"/>
            </w:pPr>
          </w:p>
        </w:tc>
        <w:tc>
          <w:tcPr>
            <w:tcW w:w="1395" w:type="dxa"/>
            <w:tcBorders>
              <w:bottom w:val="single" w:sz="6" w:space="0" w:color="000000"/>
            </w:tcBorders>
          </w:tcPr>
          <w:p w:rsidR="006C6DBE" w:rsidRPr="005D12CB" w:rsidRDefault="006C6DBE" w:rsidP="00794AE4">
            <w:pPr>
              <w:spacing w:after="0" w:line="240" w:lineRule="auto"/>
              <w:jc w:val="right"/>
              <w:rPr>
                <w:b/>
              </w:rPr>
            </w:pPr>
            <w:r w:rsidRPr="005D12CB">
              <w:rPr>
                <w:b/>
              </w:rPr>
              <w:t>16 328</w:t>
            </w:r>
          </w:p>
        </w:tc>
        <w:tc>
          <w:tcPr>
            <w:tcW w:w="270" w:type="dxa"/>
          </w:tcPr>
          <w:p w:rsidR="006C6DBE" w:rsidRPr="005D12CB" w:rsidRDefault="006C6DBE" w:rsidP="00794AE4">
            <w:pPr>
              <w:spacing w:after="0" w:line="240" w:lineRule="auto"/>
              <w:jc w:val="right"/>
            </w:pPr>
          </w:p>
        </w:tc>
        <w:tc>
          <w:tcPr>
            <w:tcW w:w="1440" w:type="dxa"/>
            <w:tcBorders>
              <w:bottom w:val="single" w:sz="6" w:space="0" w:color="000000"/>
            </w:tcBorders>
          </w:tcPr>
          <w:p w:rsidR="006C6DBE" w:rsidRPr="005D12CB" w:rsidRDefault="006C6DBE" w:rsidP="00794AE4">
            <w:pPr>
              <w:spacing w:after="0" w:line="240" w:lineRule="auto"/>
              <w:jc w:val="right"/>
            </w:pPr>
            <w:r w:rsidRPr="005D12CB">
              <w:rPr>
                <w:b/>
              </w:rPr>
              <w:t>24 882</w:t>
            </w:r>
          </w:p>
        </w:tc>
      </w:tr>
      <w:tr w:rsidR="006C6DBE" w:rsidRPr="005D12CB" w:rsidTr="00794AE4">
        <w:tc>
          <w:tcPr>
            <w:tcW w:w="5386" w:type="dxa"/>
          </w:tcPr>
          <w:p w:rsidR="006C6DBE" w:rsidRPr="005D12CB" w:rsidRDefault="006C6DBE" w:rsidP="00794AE4">
            <w:pPr>
              <w:spacing w:after="0" w:line="240" w:lineRule="auto"/>
              <w:ind w:hanging="108"/>
            </w:pPr>
          </w:p>
        </w:tc>
        <w:tc>
          <w:tcPr>
            <w:tcW w:w="1134" w:type="dxa"/>
          </w:tcPr>
          <w:p w:rsidR="006C6DBE" w:rsidRPr="005D12CB" w:rsidRDefault="006C6DBE" w:rsidP="00794AE4">
            <w:pPr>
              <w:spacing w:after="0" w:line="240" w:lineRule="auto"/>
              <w:jc w:val="center"/>
            </w:pPr>
          </w:p>
        </w:tc>
        <w:tc>
          <w:tcPr>
            <w:tcW w:w="1395" w:type="dxa"/>
            <w:tcBorders>
              <w:top w:val="single" w:sz="6" w:space="0" w:color="000000"/>
            </w:tcBorders>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Borders>
              <w:top w:val="single" w:sz="6" w:space="0" w:color="000000"/>
            </w:tcBorders>
          </w:tcPr>
          <w:p w:rsidR="006C6DBE" w:rsidRPr="005D12CB" w:rsidRDefault="006C6DBE" w:rsidP="00794AE4">
            <w:pPr>
              <w:spacing w:after="0" w:line="240" w:lineRule="auto"/>
              <w:jc w:val="right"/>
            </w:pPr>
          </w:p>
        </w:tc>
      </w:tr>
      <w:tr w:rsidR="006C6DBE" w:rsidRPr="005D12CB" w:rsidTr="00794AE4">
        <w:tc>
          <w:tcPr>
            <w:tcW w:w="5386" w:type="dxa"/>
            <w:vAlign w:val="center"/>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Довгострокові кредити банків</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Pr>
          <w:p w:rsidR="006C6DBE" w:rsidRPr="005D12CB" w:rsidRDefault="006C6DBE" w:rsidP="00794AE4">
            <w:pPr>
              <w:spacing w:after="0" w:line="240" w:lineRule="auto"/>
              <w:jc w:val="right"/>
            </w:pPr>
            <w:r w:rsidRPr="005D12CB">
              <w:t>0</w:t>
            </w:r>
          </w:p>
        </w:tc>
      </w:tr>
      <w:tr w:rsidR="006C6DBE" w:rsidRPr="005D12CB" w:rsidTr="00794AE4">
        <w:tc>
          <w:tcPr>
            <w:tcW w:w="5386" w:type="dxa"/>
            <w:vAlign w:val="center"/>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Інші довгострокові зобов’язання</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Pr>
          <w:p w:rsidR="006C6DBE" w:rsidRPr="005D12CB" w:rsidRDefault="006C6DBE" w:rsidP="00794AE4">
            <w:pPr>
              <w:spacing w:after="0" w:line="240" w:lineRule="auto"/>
              <w:jc w:val="right"/>
            </w:pPr>
            <w:r w:rsidRPr="005D12CB">
              <w:t>0</w:t>
            </w:r>
          </w:p>
        </w:tc>
      </w:tr>
      <w:tr w:rsidR="006C6DBE" w:rsidRPr="005D12CB" w:rsidTr="00794AE4">
        <w:tc>
          <w:tcPr>
            <w:tcW w:w="5386" w:type="dxa"/>
            <w:vAlign w:val="center"/>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Короткострокові кредити банків</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Pr>
          <w:p w:rsidR="006C6DBE" w:rsidRPr="005D12CB" w:rsidRDefault="006C6DBE" w:rsidP="00794AE4">
            <w:pPr>
              <w:spacing w:after="0" w:line="240" w:lineRule="auto"/>
              <w:jc w:val="right"/>
            </w:pPr>
            <w:r w:rsidRPr="005D12CB">
              <w:t>0</w:t>
            </w:r>
          </w:p>
        </w:tc>
      </w:tr>
      <w:tr w:rsidR="006C6DBE" w:rsidRPr="005D12CB" w:rsidTr="00794AE4">
        <w:tc>
          <w:tcPr>
            <w:tcW w:w="5386" w:type="dxa"/>
            <w:vAlign w:val="center"/>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Поточна кредиторська заборгованість за товари, роботи, послуги</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Pr>
          <w:p w:rsidR="006C6DBE" w:rsidRPr="005D12CB" w:rsidRDefault="006C6DBE" w:rsidP="00794AE4">
            <w:pPr>
              <w:spacing w:after="0" w:line="240" w:lineRule="auto"/>
              <w:jc w:val="right"/>
            </w:pPr>
          </w:p>
        </w:tc>
      </w:tr>
      <w:tr w:rsidR="006C6DBE" w:rsidRPr="005D12CB" w:rsidTr="00794AE4">
        <w:tc>
          <w:tcPr>
            <w:tcW w:w="5386" w:type="dxa"/>
            <w:vAlign w:val="center"/>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sz w:val="24"/>
                <w:szCs w:val="24"/>
              </w:rPr>
              <w:t>Інші поточні зобов’язання та забезпечення</w:t>
            </w:r>
          </w:p>
        </w:tc>
        <w:tc>
          <w:tcPr>
            <w:tcW w:w="1134" w:type="dxa"/>
          </w:tcPr>
          <w:p w:rsidR="006C6DBE" w:rsidRPr="005D12CB" w:rsidRDefault="006C6DBE" w:rsidP="00794AE4">
            <w:pPr>
              <w:spacing w:after="0" w:line="240" w:lineRule="auto"/>
              <w:jc w:val="center"/>
            </w:pPr>
          </w:p>
        </w:tc>
        <w:tc>
          <w:tcPr>
            <w:tcW w:w="1395" w:type="dxa"/>
            <w:tcBorders>
              <w:bottom w:val="single" w:sz="6" w:space="0" w:color="000000"/>
            </w:tcBorders>
          </w:tcPr>
          <w:p w:rsidR="006C6DBE" w:rsidRPr="005D12CB" w:rsidRDefault="006C6DBE" w:rsidP="00794AE4">
            <w:pPr>
              <w:spacing w:after="0" w:line="240" w:lineRule="auto"/>
              <w:jc w:val="right"/>
            </w:pPr>
            <w:r w:rsidRPr="005D12CB">
              <w:t>1 326</w:t>
            </w:r>
          </w:p>
        </w:tc>
        <w:tc>
          <w:tcPr>
            <w:tcW w:w="270" w:type="dxa"/>
          </w:tcPr>
          <w:p w:rsidR="006C6DBE" w:rsidRPr="005D12CB" w:rsidRDefault="006C6DBE" w:rsidP="00794AE4">
            <w:pPr>
              <w:spacing w:after="0" w:line="240" w:lineRule="auto"/>
              <w:jc w:val="right"/>
            </w:pPr>
          </w:p>
        </w:tc>
        <w:tc>
          <w:tcPr>
            <w:tcW w:w="1440" w:type="dxa"/>
            <w:tcBorders>
              <w:bottom w:val="single" w:sz="6" w:space="0" w:color="000000"/>
            </w:tcBorders>
          </w:tcPr>
          <w:p w:rsidR="006C6DBE" w:rsidRPr="005D12CB" w:rsidRDefault="006C6DBE" w:rsidP="00794AE4">
            <w:pPr>
              <w:spacing w:after="0" w:line="240" w:lineRule="auto"/>
              <w:jc w:val="right"/>
            </w:pPr>
            <w:r w:rsidRPr="005D12CB">
              <w:t>7 804</w:t>
            </w:r>
          </w:p>
        </w:tc>
      </w:tr>
      <w:tr w:rsidR="006C6DBE" w:rsidRPr="005D12CB" w:rsidTr="00794AE4">
        <w:tc>
          <w:tcPr>
            <w:tcW w:w="5386" w:type="dxa"/>
          </w:tcPr>
          <w:p w:rsidR="006C6DBE" w:rsidRPr="005D12CB" w:rsidRDefault="006C6DBE" w:rsidP="00794AE4">
            <w:pPr>
              <w:spacing w:after="0" w:line="240" w:lineRule="auto"/>
              <w:ind w:hanging="108"/>
            </w:pPr>
          </w:p>
        </w:tc>
        <w:tc>
          <w:tcPr>
            <w:tcW w:w="1134" w:type="dxa"/>
          </w:tcPr>
          <w:p w:rsidR="006C6DBE" w:rsidRPr="005D12CB" w:rsidRDefault="006C6DBE" w:rsidP="00794AE4">
            <w:pPr>
              <w:spacing w:after="0" w:line="240" w:lineRule="auto"/>
              <w:jc w:val="center"/>
            </w:pPr>
          </w:p>
        </w:tc>
        <w:tc>
          <w:tcPr>
            <w:tcW w:w="1395" w:type="dxa"/>
            <w:tcBorders>
              <w:top w:val="single" w:sz="6" w:space="0" w:color="000000"/>
            </w:tcBorders>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Borders>
              <w:top w:val="single" w:sz="6" w:space="0" w:color="000000"/>
            </w:tcBorders>
          </w:tcPr>
          <w:p w:rsidR="006C6DBE" w:rsidRPr="005D12CB" w:rsidRDefault="006C6DBE" w:rsidP="00794AE4">
            <w:pPr>
              <w:spacing w:after="0" w:line="240" w:lineRule="auto"/>
              <w:jc w:val="right"/>
            </w:pPr>
          </w:p>
        </w:tc>
      </w:tr>
      <w:tr w:rsidR="006C6DBE" w:rsidRPr="005D12CB" w:rsidTr="00794AE4">
        <w:tc>
          <w:tcPr>
            <w:tcW w:w="5386" w:type="dxa"/>
          </w:tcPr>
          <w:p w:rsidR="006C6DBE" w:rsidRPr="005D12CB" w:rsidRDefault="006C6DBE" w:rsidP="00794AE4">
            <w:pPr>
              <w:spacing w:after="0" w:line="240" w:lineRule="auto"/>
              <w:ind w:hanging="108"/>
              <w:jc w:val="both"/>
              <w:rPr>
                <w:rFonts w:ascii="Times New Roman" w:hAnsi="Times New Roman" w:cs="Times New Roman"/>
                <w:sz w:val="24"/>
                <w:szCs w:val="24"/>
              </w:rPr>
            </w:pPr>
            <w:r w:rsidRPr="005D12CB">
              <w:rPr>
                <w:rFonts w:ascii="Times New Roman" w:hAnsi="Times New Roman" w:cs="Times New Roman"/>
                <w:b/>
                <w:sz w:val="24"/>
                <w:szCs w:val="24"/>
              </w:rPr>
              <w:t xml:space="preserve">Всього фінансових зобов’язань </w:t>
            </w:r>
          </w:p>
        </w:tc>
        <w:tc>
          <w:tcPr>
            <w:tcW w:w="1134" w:type="dxa"/>
          </w:tcPr>
          <w:p w:rsidR="006C6DBE" w:rsidRPr="005D12CB" w:rsidRDefault="006C6DBE" w:rsidP="00794AE4">
            <w:pPr>
              <w:spacing w:after="0" w:line="240" w:lineRule="auto"/>
              <w:jc w:val="center"/>
            </w:pPr>
          </w:p>
        </w:tc>
        <w:tc>
          <w:tcPr>
            <w:tcW w:w="1395" w:type="dxa"/>
          </w:tcPr>
          <w:p w:rsidR="006C6DBE" w:rsidRPr="005D12CB" w:rsidRDefault="006C6DBE" w:rsidP="00794AE4">
            <w:pPr>
              <w:spacing w:after="0" w:line="240" w:lineRule="auto"/>
              <w:jc w:val="right"/>
            </w:pPr>
            <w:r w:rsidRPr="005D12CB">
              <w:rPr>
                <w:b/>
              </w:rPr>
              <w:t>1 326</w:t>
            </w:r>
          </w:p>
        </w:tc>
        <w:tc>
          <w:tcPr>
            <w:tcW w:w="270" w:type="dxa"/>
          </w:tcPr>
          <w:p w:rsidR="006C6DBE" w:rsidRPr="005D12CB" w:rsidRDefault="006C6DBE" w:rsidP="00794AE4">
            <w:pPr>
              <w:spacing w:after="0" w:line="240" w:lineRule="auto"/>
              <w:jc w:val="center"/>
            </w:pPr>
          </w:p>
        </w:tc>
        <w:tc>
          <w:tcPr>
            <w:tcW w:w="1440" w:type="dxa"/>
          </w:tcPr>
          <w:p w:rsidR="006C6DBE" w:rsidRPr="005D12CB" w:rsidRDefault="006C6DBE" w:rsidP="00794AE4">
            <w:pPr>
              <w:spacing w:after="0" w:line="240" w:lineRule="auto"/>
              <w:jc w:val="right"/>
            </w:pPr>
            <w:r w:rsidRPr="005D12CB">
              <w:rPr>
                <w:b/>
              </w:rPr>
              <w:t>17 804</w:t>
            </w:r>
          </w:p>
        </w:tc>
      </w:tr>
      <w:tr w:rsidR="006C6DBE" w:rsidRPr="005D12CB" w:rsidTr="00794AE4">
        <w:tc>
          <w:tcPr>
            <w:tcW w:w="5386" w:type="dxa"/>
          </w:tcPr>
          <w:p w:rsidR="006C6DBE" w:rsidRPr="005D12CB" w:rsidRDefault="006C6DBE" w:rsidP="00794AE4">
            <w:pPr>
              <w:spacing w:after="0" w:line="240" w:lineRule="auto"/>
              <w:ind w:hanging="108"/>
              <w:jc w:val="both"/>
              <w:rPr>
                <w:rFonts w:ascii="Times New Roman" w:hAnsi="Times New Roman" w:cs="Times New Roman"/>
                <w:sz w:val="24"/>
                <w:szCs w:val="24"/>
              </w:rPr>
            </w:pPr>
          </w:p>
        </w:tc>
        <w:tc>
          <w:tcPr>
            <w:tcW w:w="1134" w:type="dxa"/>
          </w:tcPr>
          <w:p w:rsidR="006C6DBE" w:rsidRPr="005D12CB" w:rsidRDefault="006C6DBE" w:rsidP="00794AE4">
            <w:pPr>
              <w:spacing w:after="0" w:line="240" w:lineRule="auto"/>
              <w:jc w:val="center"/>
            </w:pPr>
          </w:p>
        </w:tc>
        <w:tc>
          <w:tcPr>
            <w:tcW w:w="1395" w:type="dxa"/>
            <w:tcBorders>
              <w:bottom w:val="single" w:sz="6" w:space="0" w:color="000000"/>
            </w:tcBorders>
          </w:tcPr>
          <w:p w:rsidR="006C6DBE" w:rsidRPr="005D12CB" w:rsidRDefault="006C6DBE" w:rsidP="00794AE4">
            <w:pPr>
              <w:spacing w:after="0" w:line="240" w:lineRule="auto"/>
              <w:jc w:val="right"/>
            </w:pPr>
          </w:p>
        </w:tc>
        <w:tc>
          <w:tcPr>
            <w:tcW w:w="270" w:type="dxa"/>
          </w:tcPr>
          <w:p w:rsidR="006C6DBE" w:rsidRPr="005D12CB" w:rsidRDefault="006C6DBE" w:rsidP="00794AE4">
            <w:pPr>
              <w:spacing w:after="0" w:line="240" w:lineRule="auto"/>
              <w:jc w:val="right"/>
            </w:pPr>
          </w:p>
        </w:tc>
        <w:tc>
          <w:tcPr>
            <w:tcW w:w="1440" w:type="dxa"/>
            <w:tcBorders>
              <w:bottom w:val="single" w:sz="6" w:space="0" w:color="000000"/>
            </w:tcBorders>
          </w:tcPr>
          <w:p w:rsidR="006C6DBE" w:rsidRPr="005D12CB" w:rsidRDefault="006C6DBE" w:rsidP="00794AE4">
            <w:pPr>
              <w:spacing w:after="0" w:line="240" w:lineRule="auto"/>
              <w:jc w:val="right"/>
            </w:pPr>
          </w:p>
        </w:tc>
      </w:tr>
    </w:tbl>
    <w:p w:rsidR="006C6DBE" w:rsidRPr="005D12CB" w:rsidRDefault="006C6DBE" w:rsidP="006C6DBE">
      <w:pPr>
        <w:spacing w:after="0" w:line="240" w:lineRule="auto"/>
        <w:jc w:val="both"/>
      </w:pPr>
      <w:r w:rsidRPr="005D12CB">
        <w:rPr>
          <w:rFonts w:ascii="Times New Roman" w:hAnsi="Times New Roman" w:cs="Times New Roman"/>
          <w:i/>
          <w:sz w:val="24"/>
          <w:szCs w:val="24"/>
        </w:rPr>
        <w:t>Ризики, повязані з розповсюдженням COVID-19</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З 31 грудня 2019 року розпочалося глобальне розповсюдження COVID-19, яке суттєво сильно вплинуло на економічне становище як України, так і Товариства. Значна кількість компаній в країні вимушені припиняти або обмежувати свою діяльність на невизначений на дату підготовки цієї фінансової звітності час. Заходи, що вживаються для стримування поширення вірусу, включаючи обмеження руху транспорту, карантин, соціальні дистанції, призупинення діяльності об’єктів інфраструктури, тощо уповільнюють економічну діяльність компаній, у тому числі і Товариства. Фінансова система в країні на дату підготовки цієї фінансової звітності працює відносно стабільно, але має суттєві валютні ризики.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Серед іншого, 13.04.2020 Верховною Радою України було прийнято Закон про внесення змін до Закону України "Про Державний бюджет України на 2020 рік". Пунктом 14 вказаного закону встановлено, що з моменту установлення карантину, введеного постановою Кабінету Міністрів України «Про запобігання поширенню на території України гострої респіраторної хвороби COVID-19, спричиненої коронавірусом SARS-CoV-2» від 11 березня 2020 року №211 (з наступними змінами і доповненнями) і до його відміни (скасування) в установленому законом порядку, плата за користування нерухомим майном (його частиною) підлягала зменшенню за вимогою наймача, який здійснює підприємницьку діяльність з використанням цього майна, </w:t>
      </w:r>
      <w:r w:rsidRPr="005D12CB">
        <w:rPr>
          <w:rFonts w:ascii="Times New Roman" w:hAnsi="Times New Roman" w:cs="Times New Roman"/>
          <w:sz w:val="24"/>
          <w:szCs w:val="24"/>
        </w:rPr>
        <w:lastRenderedPageBreak/>
        <w:t>впродовж всього часу, коли майно не могло використовуватися в підприємницькій діяльності наймача в повному обсязі через запроваджені обмеження та (або) заборони. Дані карантинні обмеження діяли і протягом 2021 року .</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 xml:space="preserve"> Товариство визначило, що ці події є некоригуючими по відношенню до фінансової звітності за 2021 рік. Відповідно, фінансовий стан на 31.12.2021 та результати діяльності за рік, що закінчився 31 грудня 2021 року, не було скориговано на вплив подій, пов’язаних з COVID-19.</w:t>
      </w:r>
    </w:p>
    <w:p w:rsidR="006C6DBE" w:rsidRPr="005D12CB" w:rsidRDefault="006C6DBE" w:rsidP="006C6DBE">
      <w:pPr>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Тривалість та вплив пандемії COVID-19,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Товариства  в майбутніх періодах.</w:t>
      </w:r>
    </w:p>
    <w:p w:rsidR="006C6DBE" w:rsidRPr="005D12CB" w:rsidRDefault="006C6DBE" w:rsidP="006C6DBE">
      <w:pPr>
        <w:shd w:val="clear" w:color="auto" w:fill="FFFFFF"/>
        <w:spacing w:after="0" w:line="240" w:lineRule="auto"/>
        <w:ind w:firstLine="708"/>
        <w:rPr>
          <w:rFonts w:ascii="Times New Roman" w:hAnsi="Times New Roman" w:cs="Times New Roman"/>
          <w:sz w:val="26"/>
          <w:szCs w:val="26"/>
        </w:rPr>
      </w:pPr>
      <w:r w:rsidRPr="005D12CB">
        <w:rPr>
          <w:rFonts w:ascii="Times New Roman" w:hAnsi="Times New Roman" w:cs="Times New Roman"/>
          <w:b/>
          <w:sz w:val="26"/>
          <w:szCs w:val="26"/>
        </w:rPr>
        <w:t>9.  Події після дати Балансу</w:t>
      </w:r>
    </w:p>
    <w:p w:rsidR="006C6DBE" w:rsidRPr="005D12CB" w:rsidRDefault="006C6DBE" w:rsidP="006C6DBE">
      <w:pPr>
        <w:shd w:val="clear" w:color="auto" w:fill="FFFFFF"/>
        <w:spacing w:after="0" w:line="240" w:lineRule="auto"/>
        <w:ind w:firstLine="708"/>
        <w:rPr>
          <w:rFonts w:ascii="Times New Roman" w:hAnsi="Times New Roman" w:cs="Times New Roman"/>
          <w:sz w:val="26"/>
          <w:szCs w:val="26"/>
        </w:rPr>
      </w:pPr>
    </w:p>
    <w:p w:rsidR="006C6DBE" w:rsidRPr="005D12CB" w:rsidRDefault="006C6DBE" w:rsidP="006C6DBE">
      <w:pPr>
        <w:shd w:val="clear" w:color="auto" w:fill="FFFFFF"/>
        <w:spacing w:after="0" w:line="240" w:lineRule="auto"/>
        <w:ind w:firstLine="708"/>
        <w:jc w:val="both"/>
        <w:rPr>
          <w:rFonts w:ascii="Times New Roman" w:hAnsi="Times New Roman" w:cs="Times New Roman"/>
          <w:sz w:val="24"/>
          <w:szCs w:val="24"/>
        </w:rPr>
      </w:pPr>
      <w:r w:rsidRPr="005D12CB">
        <w:rPr>
          <w:rFonts w:ascii="Times New Roman" w:hAnsi="Times New Roman" w:cs="Times New Roman"/>
          <w:sz w:val="24"/>
          <w:szCs w:val="24"/>
        </w:rPr>
        <w:t>Події, які б могли вплинути на фінансовий стан, результати діяльності та рух коштів Товариства між датою балансу і датою затвердження керівництвом фінансової звітності, крім зазначених в п.2.3  Приміток, підготовленої до оприлюднення, не відбувались.</w:t>
      </w:r>
    </w:p>
    <w:p w:rsidR="006C6DBE" w:rsidRPr="005D12CB" w:rsidRDefault="006C6DBE" w:rsidP="006C6DBE">
      <w:pPr>
        <w:shd w:val="clear" w:color="auto" w:fill="FFFFFF"/>
        <w:spacing w:after="0" w:line="240" w:lineRule="auto"/>
        <w:jc w:val="both"/>
        <w:rPr>
          <w:rFonts w:ascii="Times New Roman" w:hAnsi="Times New Roman" w:cs="Times New Roman"/>
          <w:sz w:val="6"/>
          <w:szCs w:val="6"/>
          <w:highlight w:val="yellow"/>
        </w:rPr>
      </w:pPr>
    </w:p>
    <w:tbl>
      <w:tblPr>
        <w:tblW w:w="9747" w:type="dxa"/>
        <w:jc w:val="center"/>
        <w:tblLayout w:type="fixed"/>
        <w:tblLook w:val="0000"/>
      </w:tblPr>
      <w:tblGrid>
        <w:gridCol w:w="9747"/>
      </w:tblGrid>
      <w:tr w:rsidR="006C6DBE" w:rsidRPr="005D12CB" w:rsidTr="00794AE4">
        <w:trPr>
          <w:jc w:val="center"/>
        </w:trPr>
        <w:tc>
          <w:tcPr>
            <w:tcW w:w="9747" w:type="dxa"/>
          </w:tcPr>
          <w:p w:rsidR="006C6DBE" w:rsidRPr="005D12CB" w:rsidRDefault="006C6DBE" w:rsidP="00794AE4">
            <w:pPr>
              <w:tabs>
                <w:tab w:val="left" w:pos="7797"/>
              </w:tabs>
              <w:spacing w:after="0" w:line="240" w:lineRule="auto"/>
              <w:jc w:val="both"/>
              <w:rPr>
                <w:rFonts w:ascii="Times New Roman" w:hAnsi="Times New Roman" w:cs="Times New Roman"/>
                <w:highlight w:val="yellow"/>
              </w:rPr>
            </w:pPr>
            <w:r w:rsidRPr="005D12CB">
              <w:rPr>
                <w:rFonts w:ascii="Times New Roman" w:hAnsi="Times New Roman" w:cs="Times New Roman"/>
                <w:b/>
              </w:rPr>
              <w:t>Затверджено до випуску та підписано</w:t>
            </w:r>
          </w:p>
        </w:tc>
      </w:tr>
    </w:tbl>
    <w:p w:rsidR="006C6DBE" w:rsidRPr="005D12CB" w:rsidRDefault="006C6DBE" w:rsidP="006C6DBE">
      <w:pPr>
        <w:shd w:val="clear" w:color="auto" w:fill="FFFFFF"/>
        <w:tabs>
          <w:tab w:val="left" w:pos="7797"/>
        </w:tabs>
        <w:spacing w:after="0" w:line="240" w:lineRule="auto"/>
        <w:ind w:firstLine="709"/>
        <w:jc w:val="both"/>
        <w:rPr>
          <w:rFonts w:ascii="Times New Roman" w:hAnsi="Times New Roman" w:cs="Times New Roman"/>
          <w:sz w:val="10"/>
          <w:szCs w:val="10"/>
          <w:highlight w:val="yellow"/>
        </w:rPr>
      </w:pPr>
    </w:p>
    <w:tbl>
      <w:tblPr>
        <w:tblW w:w="9764" w:type="dxa"/>
        <w:jc w:val="center"/>
        <w:tblLayout w:type="fixed"/>
        <w:tblLook w:val="0000"/>
      </w:tblPr>
      <w:tblGrid>
        <w:gridCol w:w="9764"/>
      </w:tblGrid>
      <w:tr w:rsidR="006C6DBE" w:rsidRPr="005D12CB" w:rsidTr="00794AE4">
        <w:trPr>
          <w:trHeight w:val="240"/>
          <w:jc w:val="center"/>
        </w:trPr>
        <w:tc>
          <w:tcPr>
            <w:tcW w:w="9764" w:type="dxa"/>
            <w:tcBorders>
              <w:left w:val="nil"/>
              <w:bottom w:val="nil"/>
              <w:right w:val="nil"/>
            </w:tcBorders>
            <w:vAlign w:val="center"/>
          </w:tcPr>
          <w:p w:rsidR="006C6DBE" w:rsidRPr="005D12CB" w:rsidRDefault="006C6DBE" w:rsidP="00794AE4">
            <w:pPr>
              <w:tabs>
                <w:tab w:val="left" w:pos="7797"/>
              </w:tabs>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Голова Правління _____________________________________ Лєнь Євген Олексійович  </w:t>
            </w:r>
          </w:p>
          <w:p w:rsidR="006C6DBE" w:rsidRPr="005D12CB" w:rsidRDefault="006C6DBE" w:rsidP="00794AE4">
            <w:pPr>
              <w:tabs>
                <w:tab w:val="left" w:pos="7797"/>
              </w:tabs>
              <w:spacing w:after="0" w:line="240" w:lineRule="auto"/>
              <w:jc w:val="both"/>
              <w:rPr>
                <w:rFonts w:ascii="Times New Roman" w:hAnsi="Times New Roman" w:cs="Times New Roman"/>
                <w:sz w:val="24"/>
                <w:szCs w:val="24"/>
              </w:rPr>
            </w:pPr>
          </w:p>
          <w:p w:rsidR="006C6DBE" w:rsidRPr="005D12CB" w:rsidRDefault="006C6DBE" w:rsidP="00794AE4">
            <w:pPr>
              <w:tabs>
                <w:tab w:val="left" w:pos="7797"/>
              </w:tabs>
              <w:spacing w:after="0" w:line="240" w:lineRule="auto"/>
              <w:jc w:val="both"/>
              <w:rPr>
                <w:rFonts w:ascii="Times New Roman" w:hAnsi="Times New Roman" w:cs="Times New Roman"/>
                <w:sz w:val="24"/>
                <w:szCs w:val="24"/>
              </w:rPr>
            </w:pPr>
            <w:r w:rsidRPr="005D12CB">
              <w:rPr>
                <w:rFonts w:ascii="Times New Roman" w:hAnsi="Times New Roman" w:cs="Times New Roman"/>
                <w:sz w:val="24"/>
                <w:szCs w:val="24"/>
              </w:rPr>
              <w:t xml:space="preserve">Головний бухгалтер_________________________________Іваницька Наталія Миколаївна                                          </w:t>
            </w:r>
          </w:p>
          <w:p w:rsidR="006C6DBE" w:rsidRPr="005D12CB" w:rsidRDefault="006C6DBE" w:rsidP="00794AE4">
            <w:pPr>
              <w:tabs>
                <w:tab w:val="left" w:pos="7797"/>
              </w:tabs>
              <w:spacing w:after="0" w:line="240" w:lineRule="auto"/>
              <w:jc w:val="both"/>
              <w:rPr>
                <w:rFonts w:ascii="Times New Roman" w:hAnsi="Times New Roman" w:cs="Times New Roman"/>
                <w:sz w:val="24"/>
                <w:szCs w:val="24"/>
              </w:rPr>
            </w:pPr>
            <w:bookmarkStart w:id="3" w:name="_heading=h.gjdgxs" w:colFirst="0" w:colLast="0"/>
            <w:bookmarkEnd w:id="3"/>
            <w:r w:rsidRPr="005D12CB">
              <w:rPr>
                <w:rFonts w:ascii="Times New Roman" w:hAnsi="Times New Roman" w:cs="Times New Roman"/>
                <w:sz w:val="24"/>
                <w:szCs w:val="24"/>
              </w:rPr>
              <w:t>«24» червня  2022 р.</w:t>
            </w:r>
          </w:p>
        </w:tc>
      </w:tr>
    </w:tbl>
    <w:p w:rsidR="006C6DBE" w:rsidRPr="005D12CB" w:rsidRDefault="006C6DBE" w:rsidP="006C6DBE">
      <w:pPr>
        <w:tabs>
          <w:tab w:val="left" w:pos="7797"/>
        </w:tabs>
        <w:spacing w:after="0" w:line="240" w:lineRule="auto"/>
      </w:pPr>
    </w:p>
    <w:p w:rsidR="006C6DBE" w:rsidRPr="005D12CB" w:rsidRDefault="006C6DBE" w:rsidP="006C6DBE">
      <w:pPr>
        <w:spacing w:after="0" w:line="240" w:lineRule="auto"/>
        <w:rPr>
          <w:lang w:val="ru-RU"/>
        </w:rPr>
      </w:pPr>
    </w:p>
    <w:p w:rsidR="006C6DBE" w:rsidRDefault="006C6DB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jc w:val="both"/>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sectPr w:rsidR="00E31EDE">
          <w:pgSz w:w="12240" w:h="15840"/>
          <w:pgMar w:top="850" w:right="850" w:bottom="850" w:left="1400" w:header="708" w:footer="708" w:gutter="0"/>
          <w:cols w:space="720"/>
          <w:noEndnote/>
        </w:sect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"Аудиторська фiрма "Венгер i Партнери"</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 суб'єкти аудиторської діяльності, які мають право проводити обов'язковий аудит фінансової звітності</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36852079</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03117, м.Київ,пр.Перемоги,65</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4363</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363/5, дата: 12.07.2018</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01.01.2021 по 31.12.2021</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250/2021, дата: 28.12.2021</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28.12.2021, дата закінчення: 11.07.2022</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11.07.2022</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70 000,00</w:t>
            </w:r>
          </w:p>
        </w:tc>
      </w:tr>
      <w:tr w:rsidR="00E31EDE">
        <w:trPr>
          <w:trHeight w:val="200"/>
        </w:trPr>
        <w:tc>
          <w:tcPr>
            <w:tcW w:w="700" w:type="dxa"/>
            <w:tcBorders>
              <w:top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E31EDE" w:rsidRDefault="00E31E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31EDE">
        <w:trPr>
          <w:trHeight w:val="200"/>
        </w:trPr>
        <w:tc>
          <w:tcPr>
            <w:tcW w:w="10000" w:type="dxa"/>
            <w:gridSpan w:val="3"/>
            <w:tcBorders>
              <w:top w:val="single" w:sz="6" w:space="0" w:color="auto"/>
              <w:bottom w:val="single" w:sz="6" w:space="0" w:color="auto"/>
            </w:tcBorders>
          </w:tcPr>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Адресовано:Управлiнському персоналу та акцiонерам ПрАТ "КАМЕТ"</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Думка iз застереженням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"КАМЕТ" (код ЄДРПОУ 00241206; мiсцезнаходження: Україна, 03117, м. Київ, Святошинський р-н, проспект Перемоги, 65; далi за текстом - ПрАТ "КАМЕТ" або Товариство), яка включає баланс (звiт про фiнансовий стан) станом на 31 грудня 2021 р., звiт про фiнансовi результати (звiт про сукупнi доходи), звiт про змiни у власному капiталi, звiт про рух грошових потокiв за рiк, що закiнчився зазначеною датою, а також примiтки до рiчної фiнансової звiтностi за 2021 рiк, включаючи стислий виклад значущих облiкових полiтик.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 нашу думку, за винятком впливу питань, описаних в роздiлi "Основа для думки iз застереженням" нашого звiту, фiнансова звiтнiсть, що додається, вiдображає достовiрно, в усiх суттєвих аспектах фiнансовий стан ПрАТ "КАМЕТ" на 31 грудня 2021 р., та його фiнансовi результати i грошовi потоки за рiк, що закiнчився зазначеною датою, вiдповiдно до Мiжнародних стандартiв фiнансової звiтностi (МСФЗ).</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В звiтi про фiнансовий стан у складi iнвестицiйної нерухомостiТовариством на кiнець звiтного перiоду вiдображено нерухомiсть вартiстю 89 052 тис грн. Облiковою полiтикою Товариства передбачається, що iнвестицiйна нерухомiсть вiдображається за справедливою вартiстю, визначеною на основi звiту про оцiнку, пiдготовленого незалежною компанiєю оцiнювачiв (пп.3.4.2 Примiток до фiнансової звiтностi). Фактично Товариство не здiйснювало переоцiнку iнвестицiйної нерухомостi щонайменше протягом останнiх п'яти рокiв та управлiнським персоналом не надано доказiв вiдповiдностi вiдображеної в звiтi про фiнансовий стан вартостi iнвестицiйної нерухомостi її справедливiй вартостi на 31.12.2021. У разi перегляду вартостi iнвестицiйної нерухомостi, мало б мiсце коригування справедливої вартостi, вплив якого мав би вiдображення на вартостi активiв Товариства, розмiрi власного капiталу, нерозподiленого та чистого прибутку станом на 31 грудня 2021 року.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Товариство вiдобразило в iнших витратах списання дебiторської заборгованостi в сумi 3 069 тис. грн, що виникла в результатi авансового платежу страховiй компанiї за страхування майна. Ми не погоджуємось з вiдображенням всiєї суми списаної заборгованостi у складi iнших витрат  i вважаємо, що Товариство з дати початку надання страхових послуг по дату оголошення про припинення страховою компанiєю дiяльностi мало б вiднести вартiсть страхування в сумi 1 279 тис. грн. до поточних витрат, що формують собiвартiсть наданих послуг. З дати оголошення страховою компанiєю про припинення дiяльностi Товариство мало б нарахувати резерв сумнiвних боргiв на залишок заборгованостi в сумi 1 790 тис. грн. з вiдображенням даної суми в iнших витратах.</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Якщо б Товариство провело вiдповiднi коригування, це мало б вплив на звiт про фiнансовi результати, а саме на структуру витрат за 2021 рiк.</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у роздiлi "Вiдповiдальнiсть аудитора за аудит фiнансової звiтностi" нашого звiту.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Суттєва невизначенiсть, пов'язана з безперервною дiяльнiстю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Ми звертаємо увагу на Примiтку 3.3 "Припущення про безперервнiсть дiяльностi", в якiй зазначено, що 24 лютого 2022 року Росiйська Федерацiя розпочала повномасштабне вiйськове вторгнення в Україну та згiдно з УказомПрезидента України № 64/2022 вiд 24.02.2022 року був введений воєнний стан.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Вiйна, яку Росiя веде проти України, є великою гуманiтарною кризою, яка вражає мiльйони людей. Економiчнi наслiдки цiєї вiйни вже вiдчуваються в усьому свiтi, iснують значнi ризики серйозного й тривалого негативного ефекту.</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оцiнками Мiжнародного валютного фонду економiка України може скоротитися на 25-35%, а згiдно з прогнозом Свiтового банку - на 45%. Згiдно з оцiнками аналiтикiв Свiтового банку, бiльше половини українських пiдприємств зупинили дiяльнiсть через вiйну, а решта працюють зi значними обмеженнями. Кiлькiсть бiженцiв, якi виїхали з України вiд початку повномасштабного росiйського вторгнення, за даними Управлiння Верховного комiсара ООН у </w:t>
            </w:r>
            <w:r>
              <w:rPr>
                <w:rFonts w:ascii="Times New Roman CYR" w:hAnsi="Times New Roman CYR" w:cs="Times New Roman CYR"/>
                <w:sz w:val="24"/>
                <w:szCs w:val="24"/>
              </w:rPr>
              <w:lastRenderedPageBreak/>
              <w:t>справах бiженцiв становить бiльше 5 млн осiб.</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Хоча Товариствопродовжує свою дiяльнiсть, вiйськовi дiї вiдбуваються пiсля дати балансу, що створює суттєву невизначенiсть для Товариства в майбутньому, включаючи ризик втрати активiв та збитки в результатi бойових дiй, повiтряних атак i ракетних ударiв, а також дефiцит клiєнтiв i персоналу, викликаного цивiльною емiграцiєю та обмеженнями воєнного стану в Українi. Повний ступiнь впливу подальшого розвитку вiйськових дiй на бiзнес Товаристваневiдомий, але його масштаби можуть бути серйозними.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Цi умови вказують на iснування суттєвої невизначеностi, яка може викликати значнi сумнiви в здатностi ПрАТ "КАМЕТ"продовжувати дiяльнiсть як безперервну.</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Пандемiя, яка виникла в 2020 роцi, пов'язана з поширенням на територiї України гострої респiраторної хвороби COVID-19, спричиненої коронавiрусом SARS-CoV-2 та законодавчi вимоги, щодо зменшення орендної плати за вимогою наймача, який здiйснює пiдприємницьку дiяльнiсть з використанням цього майна, впродовж всього часу, коли майно не могло використовуватися в пiдприємницькiй дiяльностi наймача в повному обсязi через запровадженi обмеження та (або) заборони.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Тривалiсть та наслiдки пандемiї COVID-19, а також ефективнiсть заходiв уряду та НБУ у вiдповiдь наразi не вiдомi. Неможливо також надiйно оцiнити тривалiсть та наслiдки таких дiй, їх вплив на фiнансовий стан та результати дiяльностi Товариства в майбутнiх звiтних перiодах, про що зазначено в п. 8 примiток до фiнансової звiтностi.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Цi умови вказують на iснування суттєвої невизначеностi, яка може викликати значнi сумнiви в здатностi ПрАТ "КАМЕТ"продовжувати дiяльнiсть як безперервну.</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Ключовi питання аудиту - це питання, що, на наше професiйне судження, були найбiльш значущими пiд час нашого аудиту фiнансової звiтностi за 2021 рiк. Цi питання розглядалися в контекстi нашого аудиту фiнансової звiтностi в цiлому та враховувалися при формуваннi думки щодо неї, при цьому ми не висловлюємо окремої думки щодо цих питань.</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Крiм зазначеного вище та питань, якi викладенi в роздiлi "Основа для думки iз застереженням", ми визначили, що немає iнших ключових питань аудиту, iнформацiю щодо яких слiд надати в нашому звiтi.</w:t>
            </w:r>
            <w:r>
              <w:rPr>
                <w:rFonts w:ascii="Times New Roman CYR" w:hAnsi="Times New Roman CYR" w:cs="Times New Roman CYR"/>
                <w:sz w:val="24"/>
                <w:szCs w:val="24"/>
              </w:rPr>
              <w:tab/>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Управлiнський персонал несе вiдповiдальнiсть за iншу iнформацiю.Iнша iнформацiя складається з iнформацiї, яка мiститься у рiчному звiтi емiтента, але не є фiнансовою звiтнiстю та нашим звiтом аудитора щодо неї.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фiнансової звiтностi не поширюється на iншу iнформацiю та ми не робимо висновок з будь-яким рiвнем впевненостi щодо цiєї iншої iнформацiї.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з корпоративного управлiння розглянуто нами у роздiлi "Звiт щодо вимог iнших законодавчих i нормативних актiв" даного звiту незалежного аудитора.</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ПрАТ "КАМЕТ"несе вiдповiдальнiсть за складання 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w:t>
            </w:r>
            <w:r>
              <w:rPr>
                <w:rFonts w:ascii="Times New Roman CYR" w:hAnsi="Times New Roman CYR" w:cs="Times New Roman CYR"/>
                <w:sz w:val="24"/>
                <w:szCs w:val="24"/>
              </w:rPr>
              <w:lastRenderedPageBreak/>
              <w:t>фiнансової звiтностi, що не мiстить суттєвих викривлень внаслiдок шахрайства або помилки.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Товариство чи припинити дiяльнiсть, або не має iнших реальних альтернатив цьому.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прийнятнiсть застосованих облiкових полiтик та обгрунтованiсть облiкових оцiнок i вiдповiдних розкриттiв iнформацiї, зроблених управлiнським персоналом;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грунтуються на аудиторських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також надаємо тим, кого надiлено найвищими повноваженнями, твердження, що ми </w:t>
            </w:r>
            <w:r>
              <w:rPr>
                <w:rFonts w:ascii="Times New Roman CYR" w:hAnsi="Times New Roman CYR" w:cs="Times New Roman CYR"/>
                <w:sz w:val="24"/>
                <w:szCs w:val="24"/>
              </w:rPr>
              <w:lastRenderedPageBreak/>
              <w:t xml:space="preserve">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застосовно, щодо вiдповiдних застережних заходiв.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перелiку всiх питань, iнформацiя щодо яких надавалась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якщо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формування нашого професiйного судження та висловлення думки щодо дотримання Товариством положень законодавчих та нормативних актiв, нами розглянутi наступнi питання та сформованi вiдповiднi висновки.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статтi 19 Закону України "Про акцiонернi товариства", затвердженого Верховною Радою Украйни 17.09.2008 за № №514-VI (з врахуванням всiх змiн та доповнень), резервний капiтал формується у розмiрi не менше нiж 15 вiдсоткiв статутного капiталу товариства шляхом щорiчних вiдрахувань вiд чистого прибутку Товариства або за рахунок нерозподiленого прибутку. До досягнення встановленого статутом розмiру резервного капiталу розмiр щорiчних вiдрахувань не може бути меншим нiж 5 вiдсоткiв суми чистого прибутку товариства за рiк. На звiтну дату Товариством створено резервний фонд вiдповiдно до вимог Закону України "Про акцiонернi товариства".</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Формування органiв корпоративного управлiння ПрАТ "КАМЕТ" здiйснюється вiдповiдно до Статуту, затвердженого Загальними Зборами Акцiонерiв. Вищим органом управлiння Товариства є Загальнi збори. Виконавчим органом Товариства, який здiйснює управлiння поточною дiяльнiстю Товариства є Правлiння. Для здiйснення контролю за фiнансово-господарською дiяльнiстю Товариства Загальнi збори обирають Ревiзора. У приватних акцiонерних товариствах з кiлькiстю акцiонерiв 10 i бiльше осiб створення наглядової ради є обов'язковим (п. 2 ст. 51 Закону України "Про акцiонернi товариства"). Протоколом №35 чергових Загальних зборiв акцiонерiв вiд 26.04.2019 року обрано членiв Наглядової ради Товариства . Наглядова рада Товариства є органом, що здiйснює захист прав акцiонерiв Товариства, i в межах компетенцiї, визначеної Статутом, Положенням про Наглядову раду та чинним законодавством, контролює та регулює дiяльнiсть Правлiння. В цiлому, стан корпоративного управлiння ПрАТ "КАМЕТ" вiдповiдає дiючому законодавству України.</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перевiрено iнформацiю, наведену в Звiтi з корпоративного управлiння ПрАТ "КАМЕТ", та не виявлено розбiжностей з фiнансовою звiтнiстю Товариства за 2021 рiк.</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з п.2 ст.32 Закону України "Про акцiонернi товариства" акцiонерне товариство зобов'язане щороку скликати загальнi збори (рiчнi загальнi збори). Рiчнi загальнi збори товариства проводяться не пiзнiше 30 квiтня наступного за звiтним року. Аудитором пiдтверджується, що Товариством виконуються вимоги щодо щорiчного скликання загальних зборiв, на якi виносяться зокрема наступнi питання: затвердження рiчного звiту товариства, розподiл прибутку i збиткiв товариства з урахуванням вимог, передбачених законом, прийняття рiшення за наслiдками розгляду звiту наглядової ради, звiту виконавчого органу, звiту ревiзiйної комiсiї.</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Товариством протягом 2021 року не вчинювались значнi правочини.</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"Аудиторська фiрма "Венгер i Партнери" зареєстроване Святошинською районною у м. Києвi державною адмiнiстрацiєю 14.12.2009.</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36852079</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Свiдоцтво про вiдповiднiсть системи контролю якостi № 1595 (рiшення АПУ №363/5 вiд 12.07.2018, чинне до 31.12.2023).</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"Аудиторська фiрма "Венгер i Партнери" включене до Реєстру аудиторських фiрм, якi мають право проводити обов'язковий аудит.</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Партнером завдання з аудиту, результатом якого є цей звiт незалежного аудитора, є Сидорчук Таїса Володимирiвна, (Сертифiкат аудитора № 006567 виданий рiшенням Аудиторської Палати України вiд23.04.2009 № 291/2)</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Мiсцезнаходження:03117, м. Київ, пр-т Перемоги, 65, корпус Б, офiс 357,</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тел. (044) 223-78-10, (050) 336-33-16, </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електрона адреса: TVSYDORCHUK@afvip.kiev.ua,WEB-сторiнка: http://afvip.kiev.ua .</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умови договору на проведення аудиту:</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Договiр на проведення аудиту № 250/2021-АП вiд 28 грудня 2021 р.</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Перiод аудиту з 28 грудня 2021року по 11липня 2022 року.</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 iменi ТОВ "АФ "ВIП" Генеральний Директор   С.Х. Сапсай</w:t>
            </w: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 007375, виданий рiшенням Аудиторської Палати України вiд28.07.2016 № 327/2).</w:t>
            </w: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складання аудиторського висновку 11 липня2022 року.</w:t>
            </w:r>
          </w:p>
        </w:tc>
      </w:tr>
    </w:tbl>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E31EDE">
      <w:pPr>
        <w:widowControl w:val="0"/>
        <w:autoSpaceDE w:val="0"/>
        <w:autoSpaceDN w:val="0"/>
        <w:adjustRightInd w:val="0"/>
        <w:spacing w:after="0" w:line="240" w:lineRule="auto"/>
        <w:rPr>
          <w:rFonts w:ascii="Times New Roman CYR" w:hAnsi="Times New Roman CYR" w:cs="Times New Roman CYR"/>
          <w:sz w:val="24"/>
          <w:szCs w:val="24"/>
        </w:rPr>
      </w:pPr>
    </w:p>
    <w:p w:rsidR="00E31EDE" w:rsidRDefault="004E0E5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E31EDE" w:rsidRDefault="004E0E5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Лєнь Є.О. повiдомляє про те, що наскiльки це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емiтент стикається у своїй господарськiй дiяльностi. Консолiдована фiнансова звiтнiсть не складається.</w:t>
      </w:r>
    </w:p>
    <w:p w:rsidR="004E0E59" w:rsidRDefault="004E0E59">
      <w:pPr>
        <w:widowControl w:val="0"/>
        <w:autoSpaceDE w:val="0"/>
        <w:autoSpaceDN w:val="0"/>
        <w:adjustRightInd w:val="0"/>
        <w:spacing w:after="0" w:line="240" w:lineRule="auto"/>
        <w:rPr>
          <w:rFonts w:ascii="Times New Roman CYR" w:hAnsi="Times New Roman CYR" w:cs="Times New Roman CYR"/>
          <w:sz w:val="24"/>
          <w:szCs w:val="24"/>
        </w:rPr>
      </w:pPr>
    </w:p>
    <w:sectPr w:rsidR="004E0E59" w:rsidSect="00E31EDE">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Gungsuh">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BBB"/>
    <w:multiLevelType w:val="multilevel"/>
    <w:tmpl w:val="227694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Hefding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C8042CC"/>
    <w:multiLevelType w:val="multilevel"/>
    <w:tmpl w:val="C1F68F2C"/>
    <w:lvl w:ilvl="0">
      <w:start w:val="1"/>
      <w:numFmt w:val="decimal"/>
      <w:lvlText w:val="%1."/>
      <w:lvlJc w:val="left"/>
      <w:pPr>
        <w:ind w:left="720" w:hanging="360"/>
      </w:pPr>
      <w:rPr>
        <w:rFonts w:cs="Times New Roman"/>
        <w:vertAlign w:val="baseline"/>
      </w:rPr>
    </w:lvl>
    <w:lvl w:ilvl="1">
      <w:start w:val="1"/>
      <w:numFmt w:val="decimal"/>
      <w:lvlText w:val="%1.%2."/>
      <w:lvlJc w:val="left"/>
      <w:pPr>
        <w:ind w:left="1080" w:hanging="720"/>
      </w:pPr>
      <w:rPr>
        <w:rFonts w:cs="Times New Roman"/>
        <w:b/>
        <w:i/>
        <w:sz w:val="24"/>
        <w:szCs w:val="24"/>
        <w:vertAlign w:val="baseline"/>
      </w:rPr>
    </w:lvl>
    <w:lvl w:ilvl="2">
      <w:start w:val="1"/>
      <w:numFmt w:val="decimal"/>
      <w:lvlText w:val="%1.%2.%3."/>
      <w:lvlJc w:val="left"/>
      <w:pPr>
        <w:ind w:left="1080" w:hanging="720"/>
      </w:pPr>
      <w:rPr>
        <w:rFonts w:cs="Times New Roman"/>
        <w:vertAlign w:val="baseline"/>
      </w:rPr>
    </w:lvl>
    <w:lvl w:ilvl="3">
      <w:start w:val="1"/>
      <w:numFmt w:val="decimal"/>
      <w:lvlText w:val="%1.%2.%3.%4."/>
      <w:lvlJc w:val="left"/>
      <w:pPr>
        <w:ind w:left="1440" w:hanging="1080"/>
      </w:pPr>
      <w:rPr>
        <w:rFonts w:cs="Times New Roman"/>
        <w:vertAlign w:val="baseline"/>
      </w:rPr>
    </w:lvl>
    <w:lvl w:ilvl="4">
      <w:start w:val="1"/>
      <w:numFmt w:val="decimal"/>
      <w:lvlText w:val="%1.%2.%3.%4.%5."/>
      <w:lvlJc w:val="left"/>
      <w:pPr>
        <w:ind w:left="1440" w:hanging="1080"/>
      </w:pPr>
      <w:rPr>
        <w:rFonts w:cs="Times New Roman"/>
        <w:vertAlign w:val="baseline"/>
      </w:rPr>
    </w:lvl>
    <w:lvl w:ilvl="5">
      <w:start w:val="1"/>
      <w:numFmt w:val="decimal"/>
      <w:lvlText w:val="%1.%2.%3.%4.%5.%6."/>
      <w:lvlJc w:val="left"/>
      <w:pPr>
        <w:ind w:left="1800" w:hanging="1440"/>
      </w:pPr>
      <w:rPr>
        <w:rFonts w:cs="Times New Roman"/>
        <w:vertAlign w:val="baseline"/>
      </w:rPr>
    </w:lvl>
    <w:lvl w:ilvl="6">
      <w:start w:val="1"/>
      <w:numFmt w:val="decimal"/>
      <w:lvlText w:val="%1.%2.%3.%4.%5.%6.%7."/>
      <w:lvlJc w:val="left"/>
      <w:pPr>
        <w:ind w:left="2160" w:hanging="1800"/>
      </w:pPr>
      <w:rPr>
        <w:rFonts w:cs="Times New Roman"/>
        <w:vertAlign w:val="baseline"/>
      </w:rPr>
    </w:lvl>
    <w:lvl w:ilvl="7">
      <w:start w:val="1"/>
      <w:numFmt w:val="decimal"/>
      <w:lvlText w:val="%1.%2.%3.%4.%5.%6.%7.%8."/>
      <w:lvlJc w:val="left"/>
      <w:pPr>
        <w:ind w:left="2160" w:hanging="1800"/>
      </w:pPr>
      <w:rPr>
        <w:rFonts w:cs="Times New Roman"/>
        <w:vertAlign w:val="baseline"/>
      </w:rPr>
    </w:lvl>
    <w:lvl w:ilvl="8">
      <w:start w:val="1"/>
      <w:numFmt w:val="decimal"/>
      <w:lvlText w:val="%1.%2.%3.%4.%5.%6.%7.%8.%9."/>
      <w:lvlJc w:val="left"/>
      <w:pPr>
        <w:ind w:left="2520" w:hanging="2160"/>
      </w:pPr>
      <w:rPr>
        <w:rFonts w:cs="Times New Roman"/>
        <w:vertAlign w:val="baseline"/>
      </w:rPr>
    </w:lvl>
  </w:abstractNum>
  <w:abstractNum w:abstractNumId="2">
    <w:nsid w:val="1CAF1ECC"/>
    <w:multiLevelType w:val="multilevel"/>
    <w:tmpl w:val="5B82E31E"/>
    <w:lvl w:ilvl="0">
      <w:start w:val="1"/>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3C833E43"/>
    <w:multiLevelType w:val="multilevel"/>
    <w:tmpl w:val="AC26AD24"/>
    <w:lvl w:ilvl="0">
      <w:start w:val="1"/>
      <w:numFmt w:val="bullet"/>
      <w:lvlText w:val="-"/>
      <w:lvlJc w:val="left"/>
      <w:pPr>
        <w:ind w:left="360" w:hanging="360"/>
      </w:pPr>
      <w:rPr>
        <w:rFonts w:ascii="Calibri" w:eastAsia="Times New Roman" w:hAnsi="Calibri"/>
        <w:vertAlign w:val="baseline"/>
      </w:rPr>
    </w:lvl>
    <w:lvl w:ilvl="1">
      <w:start w:val="1"/>
      <w:numFmt w:val="bullet"/>
      <w:lvlText w:val="o"/>
      <w:lvlJc w:val="left"/>
      <w:pPr>
        <w:ind w:left="720" w:hanging="360"/>
      </w:pPr>
      <w:rPr>
        <w:rFonts w:ascii="Courier New" w:eastAsia="Times New Roman" w:hAnsi="Courier New"/>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2160" w:hanging="360"/>
      </w:pPr>
      <w:rPr>
        <w:rFonts w:ascii="Noto Sans Symbols" w:eastAsia="Times New Roman" w:hAnsi="Noto Sans Symbols"/>
        <w:vertAlign w:val="baseline"/>
      </w:rPr>
    </w:lvl>
    <w:lvl w:ilvl="4">
      <w:start w:val="1"/>
      <w:numFmt w:val="bullet"/>
      <w:lvlText w:val="o"/>
      <w:lvlJc w:val="left"/>
      <w:pPr>
        <w:ind w:left="2880" w:hanging="360"/>
      </w:pPr>
      <w:rPr>
        <w:rFonts w:ascii="Courier New" w:eastAsia="Times New Roman" w:hAnsi="Courier New"/>
        <w:vertAlign w:val="baseline"/>
      </w:rPr>
    </w:lvl>
    <w:lvl w:ilvl="5">
      <w:start w:val="1"/>
      <w:numFmt w:val="bullet"/>
      <w:lvlText w:val="▪"/>
      <w:lvlJc w:val="left"/>
      <w:pPr>
        <w:ind w:left="3600" w:hanging="360"/>
      </w:pPr>
      <w:rPr>
        <w:rFonts w:ascii="Noto Sans Symbols" w:eastAsia="Times New Roman" w:hAnsi="Noto Sans Symbols"/>
        <w:vertAlign w:val="baseline"/>
      </w:rPr>
    </w:lvl>
    <w:lvl w:ilvl="6">
      <w:start w:val="1"/>
      <w:numFmt w:val="bullet"/>
      <w:lvlText w:val="●"/>
      <w:lvlJc w:val="left"/>
      <w:pPr>
        <w:ind w:left="4320" w:hanging="360"/>
      </w:pPr>
      <w:rPr>
        <w:rFonts w:ascii="Noto Sans Symbols" w:eastAsia="Times New Roman" w:hAnsi="Noto Sans Symbols"/>
        <w:vertAlign w:val="baseline"/>
      </w:rPr>
    </w:lvl>
    <w:lvl w:ilvl="7">
      <w:start w:val="1"/>
      <w:numFmt w:val="bullet"/>
      <w:lvlText w:val="o"/>
      <w:lvlJc w:val="left"/>
      <w:pPr>
        <w:ind w:left="5040" w:hanging="360"/>
      </w:pPr>
      <w:rPr>
        <w:rFonts w:ascii="Courier New" w:eastAsia="Times New Roman" w:hAnsi="Courier New"/>
        <w:vertAlign w:val="baseline"/>
      </w:rPr>
    </w:lvl>
    <w:lvl w:ilvl="8">
      <w:start w:val="1"/>
      <w:numFmt w:val="bullet"/>
      <w:lvlText w:val="▪"/>
      <w:lvlJc w:val="left"/>
      <w:pPr>
        <w:ind w:left="5760" w:hanging="360"/>
      </w:pPr>
      <w:rPr>
        <w:rFonts w:ascii="Noto Sans Symbols" w:eastAsia="Times New Roman" w:hAnsi="Noto Sans Symbols"/>
        <w:vertAlign w:val="baseline"/>
      </w:rPr>
    </w:lvl>
  </w:abstractNum>
  <w:abstractNum w:abstractNumId="4">
    <w:nsid w:val="4E4611A5"/>
    <w:multiLevelType w:val="multilevel"/>
    <w:tmpl w:val="2DDE17B4"/>
    <w:lvl w:ilvl="0">
      <w:start w:val="1"/>
      <w:numFmt w:val="bullet"/>
      <w:lvlText w:val="●"/>
      <w:lvlJc w:val="left"/>
      <w:pPr>
        <w:ind w:left="1117" w:hanging="360"/>
      </w:pPr>
      <w:rPr>
        <w:rFonts w:ascii="Noto Sans Symbols" w:eastAsia="Times New Roman" w:hAnsi="Noto Sans Symbols"/>
        <w:vertAlign w:val="baseline"/>
      </w:rPr>
    </w:lvl>
    <w:lvl w:ilvl="1">
      <w:start w:val="1"/>
      <w:numFmt w:val="bullet"/>
      <w:lvlText w:val="o"/>
      <w:lvlJc w:val="left"/>
      <w:pPr>
        <w:ind w:left="1837" w:hanging="360"/>
      </w:pPr>
      <w:rPr>
        <w:rFonts w:ascii="Courier New" w:eastAsia="Times New Roman" w:hAnsi="Courier New"/>
        <w:vertAlign w:val="baseline"/>
      </w:rPr>
    </w:lvl>
    <w:lvl w:ilvl="2">
      <w:start w:val="1"/>
      <w:numFmt w:val="bullet"/>
      <w:lvlText w:val="▪"/>
      <w:lvlJc w:val="left"/>
      <w:pPr>
        <w:ind w:left="2557" w:hanging="360"/>
      </w:pPr>
      <w:rPr>
        <w:rFonts w:ascii="Noto Sans Symbols" w:eastAsia="Times New Roman" w:hAnsi="Noto Sans Symbols"/>
        <w:vertAlign w:val="baseline"/>
      </w:rPr>
    </w:lvl>
    <w:lvl w:ilvl="3">
      <w:start w:val="1"/>
      <w:numFmt w:val="bullet"/>
      <w:lvlText w:val="●"/>
      <w:lvlJc w:val="left"/>
      <w:pPr>
        <w:ind w:left="3277" w:hanging="360"/>
      </w:pPr>
      <w:rPr>
        <w:rFonts w:ascii="Noto Sans Symbols" w:eastAsia="Times New Roman" w:hAnsi="Noto Sans Symbols"/>
        <w:vertAlign w:val="baseline"/>
      </w:rPr>
    </w:lvl>
    <w:lvl w:ilvl="4">
      <w:start w:val="1"/>
      <w:numFmt w:val="bullet"/>
      <w:lvlText w:val="o"/>
      <w:lvlJc w:val="left"/>
      <w:pPr>
        <w:ind w:left="3997" w:hanging="360"/>
      </w:pPr>
      <w:rPr>
        <w:rFonts w:ascii="Courier New" w:eastAsia="Times New Roman" w:hAnsi="Courier New"/>
        <w:vertAlign w:val="baseline"/>
      </w:rPr>
    </w:lvl>
    <w:lvl w:ilvl="5">
      <w:start w:val="1"/>
      <w:numFmt w:val="bullet"/>
      <w:lvlText w:val="▪"/>
      <w:lvlJc w:val="left"/>
      <w:pPr>
        <w:ind w:left="4717" w:hanging="360"/>
      </w:pPr>
      <w:rPr>
        <w:rFonts w:ascii="Noto Sans Symbols" w:eastAsia="Times New Roman" w:hAnsi="Noto Sans Symbols"/>
        <w:vertAlign w:val="baseline"/>
      </w:rPr>
    </w:lvl>
    <w:lvl w:ilvl="6">
      <w:start w:val="1"/>
      <w:numFmt w:val="bullet"/>
      <w:lvlText w:val="●"/>
      <w:lvlJc w:val="left"/>
      <w:pPr>
        <w:ind w:left="5437" w:hanging="360"/>
      </w:pPr>
      <w:rPr>
        <w:rFonts w:ascii="Noto Sans Symbols" w:eastAsia="Times New Roman" w:hAnsi="Noto Sans Symbols"/>
        <w:vertAlign w:val="baseline"/>
      </w:rPr>
    </w:lvl>
    <w:lvl w:ilvl="7">
      <w:start w:val="1"/>
      <w:numFmt w:val="bullet"/>
      <w:lvlText w:val="o"/>
      <w:lvlJc w:val="left"/>
      <w:pPr>
        <w:ind w:left="6157" w:hanging="360"/>
      </w:pPr>
      <w:rPr>
        <w:rFonts w:ascii="Courier New" w:eastAsia="Times New Roman" w:hAnsi="Courier New"/>
        <w:vertAlign w:val="baseline"/>
      </w:rPr>
    </w:lvl>
    <w:lvl w:ilvl="8">
      <w:start w:val="1"/>
      <w:numFmt w:val="bullet"/>
      <w:lvlText w:val="▪"/>
      <w:lvlJc w:val="left"/>
      <w:pPr>
        <w:ind w:left="6877" w:hanging="360"/>
      </w:pPr>
      <w:rPr>
        <w:rFonts w:ascii="Noto Sans Symbols" w:eastAsia="Times New Roman" w:hAnsi="Noto Sans Symbols"/>
        <w:vertAlign w:val="baseline"/>
      </w:rPr>
    </w:lvl>
  </w:abstractNum>
  <w:abstractNum w:abstractNumId="5">
    <w:nsid w:val="61680E07"/>
    <w:multiLevelType w:val="multilevel"/>
    <w:tmpl w:val="CB90FE80"/>
    <w:lvl w:ilvl="0">
      <w:start w:val="2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62E81D9F"/>
    <w:multiLevelType w:val="multilevel"/>
    <w:tmpl w:val="3C2A7536"/>
    <w:lvl w:ilvl="0">
      <w:start w:val="1"/>
      <w:numFmt w:val="decimal"/>
      <w:lvlText w:val="%1)"/>
      <w:lvlJc w:val="left"/>
      <w:pPr>
        <w:ind w:left="1080" w:hanging="360"/>
      </w:pPr>
      <w:rPr>
        <w:rFonts w:cs="Times New Roman"/>
        <w:vertAlign w:val="baseline"/>
      </w:rPr>
    </w:lvl>
    <w:lvl w:ilvl="1">
      <w:start w:val="1"/>
      <w:numFmt w:val="lowerRoman"/>
      <w:lvlText w:val="%2)"/>
      <w:lvlJc w:val="left"/>
      <w:pPr>
        <w:ind w:left="2160" w:hanging="72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7">
    <w:nsid w:val="78FA5246"/>
    <w:multiLevelType w:val="multilevel"/>
    <w:tmpl w:val="2E2CBFAC"/>
    <w:lvl w:ilvl="0">
      <w:start w:val="1"/>
      <w:numFmt w:val="decimal"/>
      <w:lvlText w:val="%1."/>
      <w:lvlJc w:val="left"/>
      <w:pPr>
        <w:ind w:left="643" w:hanging="360"/>
      </w:pPr>
      <w:rPr>
        <w:rFonts w:cs="Times New Roman"/>
      </w:rPr>
    </w:lvl>
    <w:lvl w:ilvl="1">
      <w:start w:val="1"/>
      <w:numFmt w:val="lowerLetter"/>
      <w:lvlText w:val="%2."/>
      <w:lvlJc w:val="left"/>
      <w:pPr>
        <w:ind w:left="1363" w:hanging="359"/>
      </w:pPr>
      <w:rPr>
        <w:rFonts w:cs="Times New Roman"/>
      </w:rPr>
    </w:lvl>
    <w:lvl w:ilvl="2">
      <w:start w:val="1"/>
      <w:numFmt w:val="lowerRoman"/>
      <w:lvlText w:val="%3."/>
      <w:lvlJc w:val="right"/>
      <w:pPr>
        <w:ind w:left="2083" w:hanging="180"/>
      </w:pPr>
      <w:rPr>
        <w:rFonts w:cs="Times New Roman"/>
      </w:rPr>
    </w:lvl>
    <w:lvl w:ilvl="3">
      <w:start w:val="1"/>
      <w:numFmt w:val="decimal"/>
      <w:lvlText w:val="%4."/>
      <w:lvlJc w:val="left"/>
      <w:pPr>
        <w:ind w:left="2803" w:hanging="360"/>
      </w:pPr>
      <w:rPr>
        <w:rFonts w:cs="Times New Roman"/>
      </w:rPr>
    </w:lvl>
    <w:lvl w:ilvl="4">
      <w:start w:val="1"/>
      <w:numFmt w:val="lowerLetter"/>
      <w:lvlText w:val="%5."/>
      <w:lvlJc w:val="left"/>
      <w:pPr>
        <w:ind w:left="3523" w:hanging="360"/>
      </w:pPr>
      <w:rPr>
        <w:rFonts w:cs="Times New Roman"/>
      </w:rPr>
    </w:lvl>
    <w:lvl w:ilvl="5">
      <w:start w:val="1"/>
      <w:numFmt w:val="lowerRoman"/>
      <w:lvlText w:val="%6."/>
      <w:lvlJc w:val="right"/>
      <w:pPr>
        <w:ind w:left="4243" w:hanging="180"/>
      </w:pPr>
      <w:rPr>
        <w:rFonts w:cs="Times New Roman"/>
      </w:rPr>
    </w:lvl>
    <w:lvl w:ilvl="6">
      <w:start w:val="1"/>
      <w:numFmt w:val="decimal"/>
      <w:lvlText w:val="%7."/>
      <w:lvlJc w:val="left"/>
      <w:pPr>
        <w:ind w:left="4963" w:hanging="360"/>
      </w:pPr>
      <w:rPr>
        <w:rFonts w:cs="Times New Roman"/>
      </w:rPr>
    </w:lvl>
    <w:lvl w:ilvl="7">
      <w:start w:val="1"/>
      <w:numFmt w:val="lowerLetter"/>
      <w:lvlText w:val="%8."/>
      <w:lvlJc w:val="left"/>
      <w:pPr>
        <w:ind w:left="5683" w:hanging="360"/>
      </w:pPr>
      <w:rPr>
        <w:rFonts w:cs="Times New Roman"/>
      </w:rPr>
    </w:lvl>
    <w:lvl w:ilvl="8">
      <w:start w:val="1"/>
      <w:numFmt w:val="lowerRoman"/>
      <w:lvlText w:val="%9."/>
      <w:lvlJc w:val="right"/>
      <w:pPr>
        <w:ind w:left="6403" w:hanging="180"/>
      </w:pPr>
      <w:rPr>
        <w:rFonts w:cs="Times New Roman"/>
      </w:rPr>
    </w:lvl>
  </w:abstractNum>
  <w:abstractNum w:abstractNumId="8">
    <w:nsid w:val="7A6C5342"/>
    <w:multiLevelType w:val="multilevel"/>
    <w:tmpl w:val="C29EBE74"/>
    <w:lvl w:ilvl="0">
      <w:start w:val="2"/>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C6DBE"/>
    <w:rsid w:val="004E0E59"/>
    <w:rsid w:val="006C6DBE"/>
    <w:rsid w:val="00AE114B"/>
    <w:rsid w:val="00B723FA"/>
    <w:rsid w:val="00E31E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DE"/>
  </w:style>
  <w:style w:type="paragraph" w:styleId="1">
    <w:name w:val="heading 1"/>
    <w:basedOn w:val="10"/>
    <w:next w:val="10"/>
    <w:link w:val="11"/>
    <w:uiPriority w:val="9"/>
    <w:rsid w:val="006C6DBE"/>
    <w:pPr>
      <w:keepNext/>
      <w:keepLines/>
      <w:spacing w:before="240" w:after="0"/>
    </w:pPr>
    <w:rPr>
      <w:rFonts w:ascii="Cambria" w:eastAsiaTheme="minorEastAsia" w:hAnsi="Cambria"/>
      <w:color w:val="365F91"/>
      <w:sz w:val="32"/>
      <w:szCs w:val="32"/>
    </w:rPr>
  </w:style>
  <w:style w:type="paragraph" w:styleId="2">
    <w:name w:val="heading 2"/>
    <w:basedOn w:val="10"/>
    <w:next w:val="10"/>
    <w:link w:val="20"/>
    <w:uiPriority w:val="9"/>
    <w:qFormat/>
    <w:rsid w:val="006C6DBE"/>
    <w:pPr>
      <w:keepNext/>
      <w:spacing w:before="240" w:after="60"/>
      <w:outlineLvl w:val="1"/>
    </w:pPr>
    <w:rPr>
      <w:rFonts w:ascii="Calibri Light" w:eastAsiaTheme="minorEastAsia" w:hAnsi="Calibri Light"/>
      <w:b/>
      <w:bCs/>
      <w:i/>
      <w:iCs/>
      <w:sz w:val="28"/>
      <w:szCs w:val="28"/>
    </w:rPr>
  </w:style>
  <w:style w:type="paragraph" w:styleId="3">
    <w:name w:val="heading 3"/>
    <w:basedOn w:val="10"/>
    <w:next w:val="10"/>
    <w:link w:val="30"/>
    <w:uiPriority w:val="9"/>
    <w:qFormat/>
    <w:rsid w:val="006C6DBE"/>
    <w:pPr>
      <w:keepNext/>
      <w:keepLines/>
      <w:spacing w:before="40" w:after="0"/>
      <w:outlineLvl w:val="2"/>
    </w:pPr>
    <w:rPr>
      <w:rFonts w:ascii="Cambria" w:eastAsiaTheme="minorEastAsia" w:hAnsi="Cambria"/>
      <w:color w:val="243F60"/>
      <w:sz w:val="24"/>
      <w:szCs w:val="24"/>
    </w:rPr>
  </w:style>
  <w:style w:type="paragraph" w:styleId="4">
    <w:name w:val="heading 4"/>
    <w:basedOn w:val="a"/>
    <w:next w:val="a"/>
    <w:link w:val="40"/>
    <w:uiPriority w:val="9"/>
    <w:rsid w:val="006C6DBE"/>
    <w:pPr>
      <w:keepNext/>
      <w:keepLines/>
      <w:spacing w:before="240" w:after="40" w:line="240" w:lineRule="auto"/>
      <w:outlineLvl w:val="3"/>
    </w:pPr>
    <w:rPr>
      <w:rFonts w:ascii="Calibri" w:eastAsia="Times New Roman" w:hAnsi="Calibri" w:cs="Calibri"/>
      <w:b/>
      <w:sz w:val="24"/>
      <w:szCs w:val="24"/>
    </w:rPr>
  </w:style>
  <w:style w:type="paragraph" w:styleId="5">
    <w:name w:val="heading 5"/>
    <w:basedOn w:val="a"/>
    <w:next w:val="a"/>
    <w:link w:val="50"/>
    <w:uiPriority w:val="9"/>
    <w:rsid w:val="006C6DBE"/>
    <w:pPr>
      <w:keepNext/>
      <w:keepLines/>
      <w:spacing w:before="220" w:after="40" w:line="240" w:lineRule="auto"/>
      <w:outlineLvl w:val="4"/>
    </w:pPr>
    <w:rPr>
      <w:rFonts w:ascii="Calibri" w:eastAsia="Times New Roman" w:hAnsi="Calibri" w:cs="Calibri"/>
      <w:b/>
    </w:rPr>
  </w:style>
  <w:style w:type="paragraph" w:styleId="6">
    <w:name w:val="heading 6"/>
    <w:basedOn w:val="a"/>
    <w:next w:val="a"/>
    <w:link w:val="60"/>
    <w:uiPriority w:val="9"/>
    <w:rsid w:val="006C6DBE"/>
    <w:pPr>
      <w:keepNext/>
      <w:keepLines/>
      <w:spacing w:before="200" w:after="40" w:line="240" w:lineRule="auto"/>
      <w:outlineLvl w:val="5"/>
    </w:pPr>
    <w:rPr>
      <w:rFonts w:ascii="Calibri" w:eastAsia="Times New Roman"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6C6DBE"/>
    <w:rPr>
      <w:rFonts w:ascii="Cambria" w:hAnsi="Cambria" w:cs="Calibri"/>
      <w:color w:val="365F91"/>
      <w:position w:val="-1"/>
      <w:sz w:val="32"/>
      <w:szCs w:val="32"/>
      <w:lang w:val="ru-RU" w:eastAsia="en-US"/>
    </w:rPr>
  </w:style>
  <w:style w:type="character" w:customStyle="1" w:styleId="20">
    <w:name w:val="Заголовок 2 Знак"/>
    <w:basedOn w:val="a0"/>
    <w:link w:val="2"/>
    <w:uiPriority w:val="9"/>
    <w:rsid w:val="006C6DBE"/>
    <w:rPr>
      <w:rFonts w:ascii="Calibri Light" w:hAnsi="Calibri Light" w:cs="Calibri"/>
      <w:b/>
      <w:bCs/>
      <w:i/>
      <w:iCs/>
      <w:position w:val="-1"/>
      <w:sz w:val="28"/>
      <w:szCs w:val="28"/>
      <w:lang w:val="ru-RU" w:eastAsia="en-US"/>
    </w:rPr>
  </w:style>
  <w:style w:type="character" w:customStyle="1" w:styleId="30">
    <w:name w:val="Заголовок 3 Знак"/>
    <w:basedOn w:val="a0"/>
    <w:link w:val="3"/>
    <w:uiPriority w:val="9"/>
    <w:rsid w:val="006C6DBE"/>
    <w:rPr>
      <w:rFonts w:ascii="Cambria" w:hAnsi="Cambria" w:cs="Calibri"/>
      <w:color w:val="243F60"/>
      <w:position w:val="-1"/>
      <w:sz w:val="24"/>
      <w:szCs w:val="24"/>
      <w:lang w:val="ru-RU" w:eastAsia="en-US"/>
    </w:rPr>
  </w:style>
  <w:style w:type="character" w:customStyle="1" w:styleId="40">
    <w:name w:val="Заголовок 4 Знак"/>
    <w:basedOn w:val="a0"/>
    <w:link w:val="4"/>
    <w:uiPriority w:val="9"/>
    <w:rsid w:val="006C6DBE"/>
    <w:rPr>
      <w:rFonts w:ascii="Calibri" w:eastAsia="Times New Roman" w:hAnsi="Calibri" w:cs="Calibri"/>
      <w:b/>
      <w:sz w:val="24"/>
      <w:szCs w:val="24"/>
    </w:rPr>
  </w:style>
  <w:style w:type="character" w:customStyle="1" w:styleId="50">
    <w:name w:val="Заголовок 5 Знак"/>
    <w:basedOn w:val="a0"/>
    <w:link w:val="5"/>
    <w:uiPriority w:val="9"/>
    <w:rsid w:val="006C6DBE"/>
    <w:rPr>
      <w:rFonts w:ascii="Calibri" w:eastAsia="Times New Roman" w:hAnsi="Calibri" w:cs="Calibri"/>
      <w:b/>
    </w:rPr>
  </w:style>
  <w:style w:type="character" w:customStyle="1" w:styleId="60">
    <w:name w:val="Заголовок 6 Знак"/>
    <w:basedOn w:val="a0"/>
    <w:link w:val="6"/>
    <w:uiPriority w:val="9"/>
    <w:rsid w:val="006C6DBE"/>
    <w:rPr>
      <w:rFonts w:ascii="Calibri" w:eastAsia="Times New Roman" w:hAnsi="Calibri" w:cs="Calibri"/>
      <w:b/>
      <w:sz w:val="20"/>
      <w:szCs w:val="20"/>
    </w:rPr>
  </w:style>
  <w:style w:type="table" w:customStyle="1" w:styleId="TableNormal">
    <w:name w:val="Table Normal"/>
    <w:rsid w:val="006C6DBE"/>
    <w:pPr>
      <w:spacing w:after="0" w:line="240" w:lineRule="auto"/>
    </w:pPr>
    <w:rPr>
      <w:rFonts w:ascii="Calibri" w:eastAsia="Times New Roman" w:hAnsi="Calibri" w:cs="Calibri"/>
      <w:sz w:val="20"/>
      <w:szCs w:val="20"/>
    </w:rPr>
    <w:tblPr>
      <w:tblCellMar>
        <w:top w:w="0" w:type="dxa"/>
        <w:left w:w="0" w:type="dxa"/>
        <w:bottom w:w="0" w:type="dxa"/>
        <w:right w:w="0" w:type="dxa"/>
      </w:tblCellMar>
    </w:tblPr>
  </w:style>
  <w:style w:type="paragraph" w:styleId="a3">
    <w:name w:val="Title"/>
    <w:basedOn w:val="a"/>
    <w:next w:val="a"/>
    <w:link w:val="a4"/>
    <w:uiPriority w:val="10"/>
    <w:rsid w:val="006C6DBE"/>
    <w:pPr>
      <w:keepNext/>
      <w:keepLines/>
      <w:spacing w:before="480" w:after="120" w:line="240" w:lineRule="auto"/>
    </w:pPr>
    <w:rPr>
      <w:rFonts w:ascii="Calibri" w:eastAsia="Times New Roman" w:hAnsi="Calibri" w:cs="Calibri"/>
      <w:b/>
      <w:sz w:val="72"/>
      <w:szCs w:val="72"/>
    </w:rPr>
  </w:style>
  <w:style w:type="character" w:customStyle="1" w:styleId="a4">
    <w:name w:val="Название Знак"/>
    <w:basedOn w:val="a0"/>
    <w:link w:val="a3"/>
    <w:uiPriority w:val="10"/>
    <w:rsid w:val="006C6DBE"/>
    <w:rPr>
      <w:rFonts w:ascii="Calibri" w:eastAsia="Times New Roman" w:hAnsi="Calibri" w:cs="Calibri"/>
      <w:b/>
      <w:sz w:val="72"/>
      <w:szCs w:val="72"/>
    </w:rPr>
  </w:style>
  <w:style w:type="paragraph" w:customStyle="1" w:styleId="10">
    <w:name w:val="Звичайний1"/>
    <w:rsid w:val="006C6DBE"/>
    <w:pPr>
      <w:suppressAutoHyphens/>
      <w:ind w:leftChars="-1" w:left="-1" w:hangingChars="1" w:hanging="1"/>
      <w:textDirection w:val="btLr"/>
      <w:textAlignment w:val="top"/>
      <w:outlineLvl w:val="0"/>
    </w:pPr>
    <w:rPr>
      <w:rFonts w:ascii="Calibri" w:eastAsia="Times New Roman" w:hAnsi="Calibri" w:cs="Calibri"/>
      <w:position w:val="-1"/>
      <w:lang w:val="ru-RU" w:eastAsia="en-US"/>
    </w:rPr>
  </w:style>
  <w:style w:type="character" w:customStyle="1" w:styleId="12">
    <w:name w:val="Шрифт абзацу за промовчанням1"/>
    <w:qFormat/>
    <w:rsid w:val="006C6DBE"/>
    <w:rPr>
      <w:w w:val="100"/>
      <w:effect w:val="none"/>
      <w:vertAlign w:val="baseline"/>
      <w:em w:val="none"/>
    </w:rPr>
  </w:style>
  <w:style w:type="table" w:customStyle="1" w:styleId="13">
    <w:name w:val="Звичайна таблиця1"/>
    <w:qFormat/>
    <w:rsid w:val="006C6DBE"/>
    <w:pPr>
      <w:suppressAutoHyphens/>
      <w:spacing w:after="0" w:line="1" w:lineRule="atLeast"/>
      <w:ind w:leftChars="-1" w:left="-1" w:hangingChars="1" w:hanging="1"/>
      <w:textDirection w:val="btLr"/>
      <w:textAlignment w:val="top"/>
      <w:outlineLvl w:val="0"/>
    </w:pPr>
    <w:rPr>
      <w:rFonts w:ascii="Calibri" w:eastAsia="Times New Roman" w:hAnsi="Calibri" w:cs="Calibri"/>
      <w:position w:val="-1"/>
      <w:sz w:val="20"/>
      <w:szCs w:val="20"/>
    </w:rPr>
    <w:tblPr>
      <w:tblInd w:w="0" w:type="dxa"/>
      <w:tblCellMar>
        <w:top w:w="0" w:type="dxa"/>
        <w:left w:w="108" w:type="dxa"/>
        <w:bottom w:w="0" w:type="dxa"/>
        <w:right w:w="108" w:type="dxa"/>
      </w:tblCellMar>
    </w:tblPr>
  </w:style>
  <w:style w:type="paragraph" w:customStyle="1" w:styleId="14">
    <w:name w:val="Абзац списку1"/>
    <w:basedOn w:val="10"/>
    <w:rsid w:val="006C6DBE"/>
    <w:pPr>
      <w:ind w:left="720"/>
      <w:contextualSpacing/>
    </w:pPr>
    <w:rPr>
      <w:sz w:val="20"/>
      <w:szCs w:val="20"/>
    </w:rPr>
  </w:style>
  <w:style w:type="character" w:customStyle="1" w:styleId="a5">
    <w:name w:val="Абзац списку Знак"/>
    <w:rsid w:val="006C6DBE"/>
    <w:rPr>
      <w:rFonts w:ascii="Calibri" w:eastAsia="Times New Roman" w:hAnsi="Calibri"/>
      <w:w w:val="100"/>
      <w:effect w:val="none"/>
      <w:vertAlign w:val="baseline"/>
      <w:em w:val="none"/>
    </w:rPr>
  </w:style>
  <w:style w:type="table" w:customStyle="1" w:styleId="15">
    <w:name w:val="Сітка таблиці1"/>
    <w:basedOn w:val="13"/>
    <w:rsid w:val="006C6DBE"/>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6DB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val="ru-RU" w:eastAsia="en-US"/>
    </w:rPr>
  </w:style>
  <w:style w:type="character" w:customStyle="1" w:styleId="a6">
    <w:name w:val="Верхній колонтитул Знак"/>
    <w:rsid w:val="006C6DBE"/>
    <w:rPr>
      <w:rFonts w:ascii="Calibri" w:eastAsia="Times New Roman" w:hAnsi="Calibri"/>
      <w:w w:val="100"/>
      <w:sz w:val="20"/>
      <w:effect w:val="none"/>
      <w:vertAlign w:val="baseline"/>
      <w:em w:val="none"/>
    </w:rPr>
  </w:style>
  <w:style w:type="paragraph" w:customStyle="1" w:styleId="16">
    <w:name w:val="Верхній колонтитул1"/>
    <w:basedOn w:val="10"/>
    <w:rsid w:val="006C6DBE"/>
    <w:pPr>
      <w:spacing w:after="0" w:line="240" w:lineRule="auto"/>
    </w:pPr>
    <w:rPr>
      <w:sz w:val="20"/>
      <w:szCs w:val="20"/>
    </w:rPr>
  </w:style>
  <w:style w:type="paragraph" w:customStyle="1" w:styleId="17">
    <w:name w:val="Нижній колонтитул1"/>
    <w:basedOn w:val="10"/>
    <w:rsid w:val="006C6DBE"/>
    <w:pPr>
      <w:spacing w:after="0" w:line="240" w:lineRule="auto"/>
    </w:pPr>
    <w:rPr>
      <w:sz w:val="20"/>
      <w:szCs w:val="20"/>
    </w:rPr>
  </w:style>
  <w:style w:type="character" w:customStyle="1" w:styleId="a7">
    <w:name w:val="Нижній колонтитул Знак"/>
    <w:uiPriority w:val="99"/>
    <w:rsid w:val="006C6DBE"/>
    <w:rPr>
      <w:rFonts w:ascii="Calibri" w:eastAsia="Times New Roman" w:hAnsi="Calibri"/>
      <w:w w:val="100"/>
      <w:sz w:val="20"/>
      <w:effect w:val="none"/>
      <w:vertAlign w:val="baseline"/>
      <w:em w:val="none"/>
    </w:rPr>
  </w:style>
  <w:style w:type="paragraph" w:customStyle="1" w:styleId="18">
    <w:name w:val="Текст у виносці1"/>
    <w:basedOn w:val="10"/>
    <w:rsid w:val="006C6DBE"/>
    <w:pPr>
      <w:spacing w:after="0" w:line="240" w:lineRule="auto"/>
    </w:pPr>
    <w:rPr>
      <w:rFonts w:ascii="Tahoma" w:hAnsi="Tahoma"/>
      <w:sz w:val="16"/>
      <w:szCs w:val="20"/>
    </w:rPr>
  </w:style>
  <w:style w:type="character" w:customStyle="1" w:styleId="a8">
    <w:name w:val="Текст у виносці Знак"/>
    <w:rsid w:val="006C6DBE"/>
    <w:rPr>
      <w:rFonts w:ascii="Tahoma" w:eastAsia="Times New Roman" w:hAnsi="Tahoma"/>
      <w:w w:val="100"/>
      <w:sz w:val="20"/>
      <w:effect w:val="none"/>
      <w:vertAlign w:val="baseline"/>
      <w:em w:val="none"/>
    </w:rPr>
  </w:style>
  <w:style w:type="paragraph" w:customStyle="1" w:styleId="19">
    <w:name w:val="Звичайний (веб)1"/>
    <w:basedOn w:val="10"/>
    <w:rsid w:val="006C6DBE"/>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1a">
    <w:name w:val="Сетка таблицы1"/>
    <w:rsid w:val="006C6DBE"/>
    <w:pPr>
      <w:suppressAutoHyphens/>
      <w:spacing w:after="0" w:line="1" w:lineRule="atLeast"/>
      <w:ind w:leftChars="-1" w:left="-1" w:hangingChars="1" w:hanging="1"/>
      <w:textDirection w:val="btLr"/>
      <w:textAlignment w:val="top"/>
      <w:outlineLvl w:val="0"/>
    </w:pPr>
    <w:rPr>
      <w:rFonts w:ascii="Times New Roman" w:hAnsi="Times New Roman" w:cs="Calibri"/>
      <w:position w:val="-1"/>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C6DBE"/>
    <w:rPr>
      <w:w w:val="100"/>
      <w:effect w:val="none"/>
      <w:vertAlign w:val="baseline"/>
      <w:em w:val="none"/>
    </w:rPr>
  </w:style>
  <w:style w:type="character" w:customStyle="1" w:styleId="HTML">
    <w:name w:val="Стандартний HTML Знак"/>
    <w:rsid w:val="006C6DBE"/>
    <w:rPr>
      <w:rFonts w:ascii="Courier New" w:eastAsia="Times New Roman" w:hAnsi="Courier New"/>
      <w:w w:val="100"/>
      <w:sz w:val="20"/>
      <w:effect w:val="none"/>
      <w:vertAlign w:val="baseline"/>
      <w:em w:val="none"/>
      <w:lang w:eastAsia="ru-RU"/>
    </w:rPr>
  </w:style>
  <w:style w:type="paragraph" w:customStyle="1" w:styleId="HTML1">
    <w:name w:val="Стандартний HTML1"/>
    <w:basedOn w:val="10"/>
    <w:rsid w:val="006C6DBE"/>
    <w:pPr>
      <w:spacing w:after="0" w:line="240" w:lineRule="auto"/>
    </w:pPr>
    <w:rPr>
      <w:rFonts w:ascii="Courier New" w:hAnsi="Courier New"/>
      <w:sz w:val="20"/>
      <w:szCs w:val="20"/>
      <w:lang w:eastAsia="ru-RU"/>
    </w:rPr>
  </w:style>
  <w:style w:type="character" w:customStyle="1" w:styleId="rvts23">
    <w:name w:val="rvts23"/>
    <w:rsid w:val="006C6DBE"/>
    <w:rPr>
      <w:w w:val="100"/>
      <w:effect w:val="none"/>
      <w:vertAlign w:val="baseline"/>
      <w:em w:val="none"/>
    </w:rPr>
  </w:style>
  <w:style w:type="character" w:customStyle="1" w:styleId="rvts9">
    <w:name w:val="rvts9"/>
    <w:rsid w:val="006C6DBE"/>
    <w:rPr>
      <w:w w:val="100"/>
      <w:effect w:val="none"/>
      <w:vertAlign w:val="baseline"/>
      <w:em w:val="none"/>
    </w:rPr>
  </w:style>
  <w:style w:type="character" w:customStyle="1" w:styleId="1b">
    <w:name w:val="Виділення1"/>
    <w:rsid w:val="006C6DBE"/>
    <w:rPr>
      <w:i/>
      <w:w w:val="100"/>
      <w:effect w:val="none"/>
      <w:vertAlign w:val="baseline"/>
      <w:em w:val="none"/>
    </w:rPr>
  </w:style>
  <w:style w:type="character" w:customStyle="1" w:styleId="a9">
    <w:name w:val="Текст примітки Знак"/>
    <w:rsid w:val="006C6DBE"/>
    <w:rPr>
      <w:rFonts w:ascii="Calibri" w:eastAsia="Times New Roman" w:hAnsi="Calibri"/>
      <w:w w:val="100"/>
      <w:sz w:val="20"/>
      <w:effect w:val="none"/>
      <w:vertAlign w:val="baseline"/>
      <w:em w:val="none"/>
    </w:rPr>
  </w:style>
  <w:style w:type="paragraph" w:customStyle="1" w:styleId="1c">
    <w:name w:val="Текст примітки1"/>
    <w:basedOn w:val="10"/>
    <w:qFormat/>
    <w:rsid w:val="006C6DBE"/>
    <w:pPr>
      <w:spacing w:line="240" w:lineRule="auto"/>
    </w:pPr>
    <w:rPr>
      <w:sz w:val="20"/>
      <w:szCs w:val="20"/>
    </w:rPr>
  </w:style>
  <w:style w:type="character" w:customStyle="1" w:styleId="aa">
    <w:name w:val="Тема примітки Знак"/>
    <w:rsid w:val="006C6DBE"/>
    <w:rPr>
      <w:rFonts w:ascii="Calibri" w:eastAsia="Times New Roman" w:hAnsi="Calibri"/>
      <w:b/>
      <w:w w:val="100"/>
      <w:sz w:val="20"/>
      <w:effect w:val="none"/>
      <w:vertAlign w:val="baseline"/>
      <w:em w:val="none"/>
    </w:rPr>
  </w:style>
  <w:style w:type="paragraph" w:customStyle="1" w:styleId="1d">
    <w:name w:val="Тема примітки1"/>
    <w:basedOn w:val="1c"/>
    <w:next w:val="1c"/>
    <w:qFormat/>
    <w:rsid w:val="006C6DBE"/>
    <w:rPr>
      <w:b/>
      <w:bCs/>
    </w:rPr>
  </w:style>
  <w:style w:type="paragraph" w:customStyle="1" w:styleId="1e">
    <w:name w:val="Редакція1"/>
    <w:rsid w:val="006C6DBE"/>
    <w:pPr>
      <w:suppressAutoHyphens/>
      <w:spacing w:after="0" w:line="1" w:lineRule="atLeast"/>
      <w:ind w:leftChars="-1" w:left="-1" w:hangingChars="1" w:hanging="1"/>
      <w:textDirection w:val="btLr"/>
      <w:textAlignment w:val="top"/>
      <w:outlineLvl w:val="0"/>
    </w:pPr>
    <w:rPr>
      <w:rFonts w:ascii="Calibri" w:eastAsia="Times New Roman" w:hAnsi="Calibri" w:cs="Calibri"/>
      <w:position w:val="-1"/>
      <w:lang w:val="ru-RU" w:eastAsia="en-US"/>
    </w:rPr>
  </w:style>
  <w:style w:type="character" w:styleId="ab">
    <w:name w:val="Strong"/>
    <w:basedOn w:val="a0"/>
    <w:uiPriority w:val="22"/>
    <w:rsid w:val="006C6DBE"/>
    <w:rPr>
      <w:b/>
      <w:w w:val="100"/>
      <w:effect w:val="none"/>
      <w:vertAlign w:val="baseline"/>
      <w:em w:val="none"/>
    </w:rPr>
  </w:style>
  <w:style w:type="character" w:customStyle="1" w:styleId="1f">
    <w:name w:val="Гіперпосилання1"/>
    <w:qFormat/>
    <w:rsid w:val="006C6DBE"/>
    <w:rPr>
      <w:color w:val="0000FF"/>
      <w:w w:val="100"/>
      <w:u w:val="single"/>
      <w:effect w:val="none"/>
      <w:vertAlign w:val="baseline"/>
      <w:em w:val="none"/>
    </w:rPr>
  </w:style>
  <w:style w:type="character" w:customStyle="1" w:styleId="ac">
    <w:name w:val="Основной текст_"/>
    <w:rsid w:val="006C6DBE"/>
    <w:rPr>
      <w:rFonts w:ascii="Arial" w:eastAsia="Times New Roman" w:hAnsi="Arial"/>
      <w:spacing w:val="7"/>
      <w:w w:val="100"/>
      <w:sz w:val="12"/>
      <w:effect w:val="none"/>
      <w:shd w:val="clear" w:color="auto" w:fill="FFFFFF"/>
      <w:vertAlign w:val="baseline"/>
      <w:em w:val="none"/>
    </w:rPr>
  </w:style>
  <w:style w:type="paragraph" w:customStyle="1" w:styleId="21">
    <w:name w:val="Основной текст2"/>
    <w:basedOn w:val="10"/>
    <w:rsid w:val="006C6DBE"/>
    <w:pPr>
      <w:widowControl w:val="0"/>
      <w:shd w:val="clear" w:color="auto" w:fill="FFFFFF"/>
      <w:spacing w:after="0" w:line="326" w:lineRule="atLeast"/>
    </w:pPr>
    <w:rPr>
      <w:rFonts w:ascii="Arial" w:hAnsi="Arial"/>
      <w:spacing w:val="7"/>
      <w:sz w:val="12"/>
      <w:szCs w:val="12"/>
    </w:rPr>
  </w:style>
  <w:style w:type="character" w:customStyle="1" w:styleId="1f0">
    <w:name w:val="Основной текст1"/>
    <w:rsid w:val="006C6DBE"/>
    <w:rPr>
      <w:rFonts w:ascii="Arial" w:eastAsia="Times New Roman" w:hAnsi="Arial"/>
      <w:color w:val="000000"/>
      <w:spacing w:val="7"/>
      <w:w w:val="100"/>
      <w:position w:val="0"/>
      <w:sz w:val="12"/>
      <w:effect w:val="none"/>
      <w:shd w:val="clear" w:color="auto" w:fill="FFFFFF"/>
      <w:vertAlign w:val="baseline"/>
      <w:em w:val="none"/>
      <w:lang w:val="uk-UA" w:eastAsia="uk-UA"/>
    </w:rPr>
  </w:style>
  <w:style w:type="character" w:customStyle="1" w:styleId="1f1">
    <w:name w:val="Сильне виокремлення1"/>
    <w:rsid w:val="006C6DBE"/>
    <w:rPr>
      <w:b/>
      <w:i/>
      <w:color w:val="4F81BD"/>
      <w:w w:val="100"/>
      <w:effect w:val="none"/>
      <w:vertAlign w:val="baseline"/>
      <w:em w:val="none"/>
    </w:rPr>
  </w:style>
  <w:style w:type="character" w:customStyle="1" w:styleId="1f2">
    <w:name w:val="Знак примітки1"/>
    <w:qFormat/>
    <w:rsid w:val="006C6DBE"/>
    <w:rPr>
      <w:w w:val="100"/>
      <w:sz w:val="16"/>
      <w:effect w:val="none"/>
      <w:vertAlign w:val="baseline"/>
      <w:em w:val="none"/>
    </w:rPr>
  </w:style>
  <w:style w:type="character" w:customStyle="1" w:styleId="7">
    <w:name w:val="Основной текст (7)_"/>
    <w:rsid w:val="006C6DBE"/>
    <w:rPr>
      <w:b/>
      <w:i/>
      <w:w w:val="100"/>
      <w:sz w:val="23"/>
      <w:effect w:val="none"/>
      <w:shd w:val="clear" w:color="auto" w:fill="FFFFFF"/>
      <w:vertAlign w:val="baseline"/>
      <w:em w:val="none"/>
    </w:rPr>
  </w:style>
  <w:style w:type="paragraph" w:customStyle="1" w:styleId="71">
    <w:name w:val="Основной текст (7)1"/>
    <w:basedOn w:val="10"/>
    <w:rsid w:val="006C6DBE"/>
    <w:pPr>
      <w:shd w:val="clear" w:color="auto" w:fill="FFFFFF"/>
      <w:spacing w:before="780" w:after="0" w:line="269" w:lineRule="atLeast"/>
      <w:jc w:val="center"/>
    </w:pPr>
    <w:rPr>
      <w:b/>
      <w:bCs/>
      <w:i/>
      <w:iCs/>
      <w:sz w:val="23"/>
      <w:szCs w:val="23"/>
    </w:rPr>
  </w:style>
  <w:style w:type="character" w:customStyle="1" w:styleId="70">
    <w:name w:val="Основной текст (7) + Не полужирный"/>
    <w:aliases w:val="Не курсив4"/>
    <w:rsid w:val="006C6DBE"/>
    <w:rPr>
      <w:b/>
      <w:i/>
      <w:w w:val="100"/>
      <w:sz w:val="23"/>
      <w:effect w:val="none"/>
      <w:shd w:val="clear" w:color="auto" w:fill="FFFFFF"/>
      <w:vertAlign w:val="baseline"/>
      <w:em w:val="none"/>
    </w:rPr>
  </w:style>
  <w:style w:type="character" w:customStyle="1" w:styleId="8">
    <w:name w:val="Основной текст (8)_"/>
    <w:rsid w:val="006C6DBE"/>
    <w:rPr>
      <w:w w:val="100"/>
      <w:sz w:val="23"/>
      <w:effect w:val="none"/>
      <w:shd w:val="clear" w:color="auto" w:fill="FFFFFF"/>
      <w:vertAlign w:val="baseline"/>
      <w:em w:val="none"/>
    </w:rPr>
  </w:style>
  <w:style w:type="character" w:customStyle="1" w:styleId="80">
    <w:name w:val="Основной текст (8)"/>
    <w:rsid w:val="006C6DBE"/>
    <w:rPr>
      <w:w w:val="100"/>
      <w:sz w:val="23"/>
      <w:effect w:val="none"/>
      <w:shd w:val="clear" w:color="auto" w:fill="FFFFFF"/>
      <w:vertAlign w:val="baseline"/>
      <w:em w:val="none"/>
    </w:rPr>
  </w:style>
  <w:style w:type="character" w:customStyle="1" w:styleId="81">
    <w:name w:val="Основной текст (8) + Полужирный"/>
    <w:aliases w:val="Курсив"/>
    <w:rsid w:val="006C6DBE"/>
    <w:rPr>
      <w:b/>
      <w:i/>
      <w:w w:val="100"/>
      <w:sz w:val="23"/>
      <w:effect w:val="none"/>
      <w:vertAlign w:val="baseline"/>
      <w:em w:val="none"/>
    </w:rPr>
  </w:style>
  <w:style w:type="paragraph" w:customStyle="1" w:styleId="810">
    <w:name w:val="Основной текст (8)1"/>
    <w:basedOn w:val="10"/>
    <w:rsid w:val="006C6DBE"/>
    <w:pPr>
      <w:shd w:val="clear" w:color="auto" w:fill="FFFFFF"/>
      <w:spacing w:before="360" w:after="60" w:line="278" w:lineRule="atLeast"/>
      <w:jc w:val="both"/>
    </w:pPr>
    <w:rPr>
      <w:sz w:val="23"/>
      <w:szCs w:val="23"/>
    </w:rPr>
  </w:style>
  <w:style w:type="character" w:customStyle="1" w:styleId="73">
    <w:name w:val="Основной текст (7)3"/>
    <w:rsid w:val="006C6DBE"/>
    <w:rPr>
      <w:b/>
      <w:i/>
      <w:w w:val="100"/>
      <w:sz w:val="23"/>
      <w:effect w:val="none"/>
      <w:shd w:val="clear" w:color="auto" w:fill="FFFFFF"/>
      <w:vertAlign w:val="baseline"/>
      <w:em w:val="none"/>
    </w:rPr>
  </w:style>
  <w:style w:type="character" w:customStyle="1" w:styleId="72">
    <w:name w:val="Основной текст (7)2"/>
    <w:rsid w:val="006C6DBE"/>
    <w:rPr>
      <w:b/>
      <w:i/>
      <w:w w:val="100"/>
      <w:sz w:val="23"/>
      <w:effect w:val="none"/>
      <w:shd w:val="clear" w:color="auto" w:fill="FFFFFF"/>
      <w:vertAlign w:val="baseline"/>
      <w:em w:val="none"/>
    </w:rPr>
  </w:style>
  <w:style w:type="character" w:customStyle="1" w:styleId="100">
    <w:name w:val="Основной текст (10)_"/>
    <w:rsid w:val="006C6DBE"/>
    <w:rPr>
      <w:i/>
      <w:w w:val="100"/>
      <w:sz w:val="24"/>
      <w:effect w:val="none"/>
      <w:shd w:val="clear" w:color="auto" w:fill="FFFFFF"/>
      <w:vertAlign w:val="baseline"/>
      <w:em w:val="none"/>
    </w:rPr>
  </w:style>
  <w:style w:type="paragraph" w:customStyle="1" w:styleId="101">
    <w:name w:val="Основной текст (10)1"/>
    <w:basedOn w:val="10"/>
    <w:rsid w:val="006C6DBE"/>
    <w:pPr>
      <w:shd w:val="clear" w:color="auto" w:fill="FFFFFF"/>
      <w:spacing w:before="180" w:after="0" w:line="283" w:lineRule="atLeast"/>
      <w:ind w:hanging="340"/>
      <w:jc w:val="both"/>
    </w:pPr>
    <w:rPr>
      <w:i/>
      <w:iCs/>
      <w:sz w:val="24"/>
      <w:szCs w:val="24"/>
    </w:rPr>
  </w:style>
  <w:style w:type="character" w:customStyle="1" w:styleId="82">
    <w:name w:val="Основной текст (8)2"/>
    <w:rsid w:val="006C6DBE"/>
    <w:rPr>
      <w:w w:val="100"/>
      <w:sz w:val="23"/>
      <w:effect w:val="none"/>
      <w:shd w:val="clear" w:color="auto" w:fill="FFFFFF"/>
      <w:vertAlign w:val="baseline"/>
      <w:em w:val="none"/>
    </w:rPr>
  </w:style>
  <w:style w:type="character" w:customStyle="1" w:styleId="150">
    <w:name w:val="Заголовок №1 (5)"/>
    <w:rsid w:val="006C6DBE"/>
    <w:rPr>
      <w:b/>
      <w:i/>
      <w:w w:val="100"/>
      <w:sz w:val="23"/>
      <w:effect w:val="none"/>
      <w:vertAlign w:val="baseline"/>
      <w:em w:val="none"/>
    </w:rPr>
  </w:style>
  <w:style w:type="paragraph" w:customStyle="1" w:styleId="1f3">
    <w:name w:val="Обычный1"/>
    <w:rsid w:val="006C6DBE"/>
    <w:pPr>
      <w:widowControl w:val="0"/>
      <w:suppressAutoHyphens/>
      <w:spacing w:after="0" w:line="1" w:lineRule="atLeast"/>
      <w:ind w:leftChars="-1" w:left="720" w:hangingChars="1" w:hanging="1"/>
      <w:jc w:val="both"/>
      <w:textDirection w:val="btLr"/>
      <w:textAlignment w:val="top"/>
      <w:outlineLvl w:val="0"/>
    </w:pPr>
    <w:rPr>
      <w:rFonts w:ascii="Times New Roman" w:hAnsi="Times New Roman" w:cs="Calibri"/>
      <w:position w:val="-1"/>
      <w:sz w:val="24"/>
      <w:szCs w:val="20"/>
      <w:lang w:val="ru-RU" w:eastAsia="ru-RU"/>
    </w:rPr>
  </w:style>
  <w:style w:type="paragraph" w:customStyle="1" w:styleId="Style4">
    <w:name w:val="Style4"/>
    <w:basedOn w:val="10"/>
    <w:rsid w:val="006C6DBE"/>
    <w:pPr>
      <w:widowControl w:val="0"/>
      <w:autoSpaceDE w:val="0"/>
      <w:autoSpaceDN w:val="0"/>
      <w:adjustRightInd w:val="0"/>
      <w:spacing w:after="0" w:line="302" w:lineRule="atLeast"/>
      <w:ind w:firstLine="278"/>
      <w:jc w:val="both"/>
    </w:pPr>
    <w:rPr>
      <w:rFonts w:ascii="Times New Roman" w:eastAsiaTheme="minorEastAsia" w:hAnsi="Times New Roman"/>
      <w:sz w:val="24"/>
      <w:szCs w:val="24"/>
      <w:lang w:eastAsia="ru-RU"/>
    </w:rPr>
  </w:style>
  <w:style w:type="character" w:customStyle="1" w:styleId="Normal">
    <w:name w:val="Normal Знак"/>
    <w:rsid w:val="006C6DBE"/>
    <w:rPr>
      <w:rFonts w:ascii="Times New Roman" w:hAnsi="Times New Roman"/>
      <w:w w:val="100"/>
      <w:sz w:val="24"/>
      <w:effect w:val="none"/>
      <w:vertAlign w:val="baseline"/>
      <w:em w:val="none"/>
      <w:lang w:eastAsia="ru-RU"/>
    </w:rPr>
  </w:style>
  <w:style w:type="paragraph" w:customStyle="1" w:styleId="Style8">
    <w:name w:val="Style8"/>
    <w:basedOn w:val="10"/>
    <w:rsid w:val="006C6DBE"/>
    <w:pPr>
      <w:widowControl w:val="0"/>
      <w:autoSpaceDE w:val="0"/>
      <w:autoSpaceDN w:val="0"/>
      <w:adjustRightInd w:val="0"/>
      <w:spacing w:after="0" w:line="278" w:lineRule="atLeast"/>
      <w:jc w:val="both"/>
    </w:pPr>
    <w:rPr>
      <w:rFonts w:ascii="Times New Roman" w:eastAsiaTheme="minorEastAsia" w:hAnsi="Times New Roman"/>
      <w:sz w:val="24"/>
      <w:szCs w:val="24"/>
      <w:lang w:eastAsia="ru-RU"/>
    </w:rPr>
  </w:style>
  <w:style w:type="paragraph" w:customStyle="1" w:styleId="TableText">
    <w:name w:val="Table Text"/>
    <w:basedOn w:val="10"/>
    <w:rsid w:val="006C6DBE"/>
    <w:pPr>
      <w:spacing w:after="0" w:line="240" w:lineRule="auto"/>
    </w:pPr>
    <w:rPr>
      <w:rFonts w:ascii="Arial" w:eastAsiaTheme="minorEastAsia" w:hAnsi="Arial" w:cs="Arial"/>
      <w:sz w:val="18"/>
      <w:szCs w:val="18"/>
      <w:lang w:val="en-GB"/>
    </w:rPr>
  </w:style>
  <w:style w:type="paragraph" w:customStyle="1" w:styleId="1f4">
    <w:name w:val="Основний текст1"/>
    <w:basedOn w:val="10"/>
    <w:rsid w:val="006C6DBE"/>
    <w:pPr>
      <w:spacing w:after="0" w:line="240" w:lineRule="auto"/>
      <w:jc w:val="both"/>
    </w:pPr>
    <w:rPr>
      <w:rFonts w:ascii="Times New Roman" w:eastAsiaTheme="minorEastAsia" w:hAnsi="Times New Roman"/>
      <w:sz w:val="24"/>
      <w:szCs w:val="24"/>
      <w:lang w:eastAsia="ru-RU"/>
    </w:rPr>
  </w:style>
  <w:style w:type="character" w:customStyle="1" w:styleId="ad">
    <w:name w:val="Основний текст Знак"/>
    <w:rsid w:val="006C6DBE"/>
    <w:rPr>
      <w:rFonts w:ascii="Times New Roman" w:hAnsi="Times New Roman"/>
      <w:w w:val="100"/>
      <w:sz w:val="24"/>
      <w:effect w:val="none"/>
      <w:vertAlign w:val="baseline"/>
      <w:em w:val="none"/>
      <w:lang w:eastAsia="ru-RU"/>
    </w:rPr>
  </w:style>
  <w:style w:type="character" w:customStyle="1" w:styleId="col-2sub-title">
    <w:name w:val="col-2_sub-title"/>
    <w:rsid w:val="006C6DBE"/>
    <w:rPr>
      <w:w w:val="100"/>
      <w:effect w:val="none"/>
      <w:vertAlign w:val="baseline"/>
      <w:em w:val="none"/>
    </w:rPr>
  </w:style>
  <w:style w:type="paragraph" w:customStyle="1" w:styleId="Hefding3">
    <w:name w:val="Hefding 3"/>
    <w:basedOn w:val="2"/>
    <w:rsid w:val="006C6DBE"/>
    <w:pPr>
      <w:numPr>
        <w:ilvl w:val="2"/>
        <w:numId w:val="9"/>
      </w:numPr>
      <w:spacing w:before="120" w:after="120" w:line="240" w:lineRule="auto"/>
      <w:ind w:left="-1" w:hanging="1"/>
    </w:pPr>
    <w:rPr>
      <w:rFonts w:ascii="Times New Roman" w:hAnsi="Times New Roman"/>
      <w:iCs w:val="0"/>
      <w:sz w:val="24"/>
      <w:szCs w:val="22"/>
    </w:rPr>
  </w:style>
  <w:style w:type="paragraph" w:customStyle="1" w:styleId="51">
    <w:name w:val="Знак Знак5"/>
    <w:basedOn w:val="10"/>
    <w:rsid w:val="006C6DBE"/>
    <w:pPr>
      <w:spacing w:after="160" w:line="240" w:lineRule="atLeast"/>
    </w:pPr>
    <w:rPr>
      <w:rFonts w:ascii="Verdana" w:eastAsiaTheme="minorEastAsia" w:hAnsi="Verdana" w:cs="Verdana"/>
      <w:sz w:val="20"/>
      <w:szCs w:val="20"/>
      <w:lang w:val="en-US"/>
    </w:rPr>
  </w:style>
  <w:style w:type="paragraph" w:styleId="ae">
    <w:name w:val="Subtitle"/>
    <w:basedOn w:val="a"/>
    <w:link w:val="af"/>
    <w:uiPriority w:val="11"/>
    <w:rsid w:val="006C6DBE"/>
    <w:pPr>
      <w:keepNext/>
      <w:keepLines/>
      <w:spacing w:before="360" w:after="80" w:line="240" w:lineRule="auto"/>
    </w:pPr>
    <w:rPr>
      <w:rFonts w:ascii="Georgia" w:eastAsia="Times New Roman" w:hAnsi="Georgia" w:cs="Georgia"/>
      <w:i/>
      <w:color w:val="666666"/>
      <w:sz w:val="48"/>
      <w:szCs w:val="48"/>
    </w:rPr>
  </w:style>
  <w:style w:type="character" w:customStyle="1" w:styleId="af">
    <w:name w:val="Подзаголовок Знак"/>
    <w:basedOn w:val="a0"/>
    <w:link w:val="ae"/>
    <w:uiPriority w:val="11"/>
    <w:rsid w:val="006C6DBE"/>
    <w:rPr>
      <w:rFonts w:ascii="Georgia" w:eastAsia="Times New Roman" w:hAnsi="Georgia" w:cs="Georgia"/>
      <w:i/>
      <w:color w:val="666666"/>
      <w:sz w:val="48"/>
      <w:szCs w:val="48"/>
    </w:rPr>
  </w:style>
  <w:style w:type="paragraph" w:styleId="af0">
    <w:name w:val="annotation text"/>
    <w:basedOn w:val="a"/>
    <w:link w:val="af1"/>
    <w:uiPriority w:val="99"/>
    <w:semiHidden/>
    <w:unhideWhenUsed/>
    <w:rsid w:val="006C6DBE"/>
    <w:pPr>
      <w:spacing w:after="0" w:line="240" w:lineRule="auto"/>
    </w:pPr>
    <w:rPr>
      <w:rFonts w:ascii="Calibri" w:eastAsia="Times New Roman" w:hAnsi="Calibri" w:cs="Calibri"/>
      <w:sz w:val="20"/>
      <w:szCs w:val="20"/>
    </w:rPr>
  </w:style>
  <w:style w:type="character" w:customStyle="1" w:styleId="af1">
    <w:name w:val="Текст примечания Знак"/>
    <w:basedOn w:val="a0"/>
    <w:link w:val="af0"/>
    <w:uiPriority w:val="99"/>
    <w:semiHidden/>
    <w:rsid w:val="006C6DBE"/>
    <w:rPr>
      <w:rFonts w:ascii="Calibri" w:eastAsia="Times New Roman" w:hAnsi="Calibri" w:cs="Calibri"/>
      <w:sz w:val="20"/>
      <w:szCs w:val="20"/>
    </w:rPr>
  </w:style>
  <w:style w:type="character" w:styleId="af2">
    <w:name w:val="annotation reference"/>
    <w:basedOn w:val="a0"/>
    <w:uiPriority w:val="99"/>
    <w:semiHidden/>
    <w:unhideWhenUsed/>
    <w:rsid w:val="006C6DBE"/>
    <w:rPr>
      <w:rFonts w:cs="Times New Roman"/>
      <w:sz w:val="16"/>
      <w:szCs w:val="16"/>
    </w:rPr>
  </w:style>
  <w:style w:type="paragraph" w:styleId="af3">
    <w:name w:val="Balloon Text"/>
    <w:basedOn w:val="a"/>
    <w:link w:val="af4"/>
    <w:uiPriority w:val="99"/>
    <w:semiHidden/>
    <w:unhideWhenUsed/>
    <w:rsid w:val="006C6DBE"/>
    <w:pPr>
      <w:spacing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6C6DBE"/>
    <w:rPr>
      <w:rFonts w:ascii="Segoe UI" w:eastAsia="Times New Roman" w:hAnsi="Segoe UI" w:cs="Segoe UI"/>
      <w:sz w:val="18"/>
      <w:szCs w:val="18"/>
    </w:rPr>
  </w:style>
  <w:style w:type="paragraph" w:styleId="af5">
    <w:name w:val="annotation subject"/>
    <w:basedOn w:val="af0"/>
    <w:next w:val="af0"/>
    <w:link w:val="af6"/>
    <w:uiPriority w:val="99"/>
    <w:semiHidden/>
    <w:unhideWhenUsed/>
    <w:rsid w:val="006C6DBE"/>
    <w:rPr>
      <w:b/>
      <w:bCs/>
    </w:rPr>
  </w:style>
  <w:style w:type="character" w:customStyle="1" w:styleId="af6">
    <w:name w:val="Тема примечания Знак"/>
    <w:basedOn w:val="af1"/>
    <w:link w:val="af5"/>
    <w:uiPriority w:val="99"/>
    <w:semiHidden/>
    <w:rsid w:val="006C6DBE"/>
    <w:rPr>
      <w:b/>
      <w:bCs/>
    </w:rPr>
  </w:style>
  <w:style w:type="table" w:styleId="af7">
    <w:name w:val="Table Grid"/>
    <w:basedOn w:val="a1"/>
    <w:uiPriority w:val="99"/>
    <w:rsid w:val="006C6DB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aliases w:val="ТАБЛИЦЯ"/>
    <w:uiPriority w:val="1"/>
    <w:qFormat/>
    <w:rsid w:val="006C6DBE"/>
    <w:pPr>
      <w:spacing w:after="0" w:line="240" w:lineRule="auto"/>
    </w:pPr>
    <w:rPr>
      <w:rFonts w:ascii="Calibri" w:eastAsia="Times New Roman" w:hAnsi="Calibri" w:cs="Times New Roman"/>
      <w:lang w:eastAsia="en-US"/>
    </w:rPr>
  </w:style>
  <w:style w:type="paragraph" w:styleId="af8">
    <w:name w:val="header"/>
    <w:basedOn w:val="a"/>
    <w:link w:val="af9"/>
    <w:uiPriority w:val="99"/>
    <w:unhideWhenUsed/>
    <w:rsid w:val="006C6DBE"/>
    <w:pPr>
      <w:tabs>
        <w:tab w:val="center" w:pos="4819"/>
        <w:tab w:val="right" w:pos="9639"/>
      </w:tabs>
      <w:spacing w:after="0" w:line="240" w:lineRule="auto"/>
    </w:pPr>
    <w:rPr>
      <w:rFonts w:ascii="Calibri" w:eastAsia="Times New Roman" w:hAnsi="Calibri" w:cs="Calibri"/>
      <w:sz w:val="20"/>
      <w:szCs w:val="20"/>
    </w:rPr>
  </w:style>
  <w:style w:type="character" w:customStyle="1" w:styleId="af9">
    <w:name w:val="Верхний колонтитул Знак"/>
    <w:basedOn w:val="a0"/>
    <w:link w:val="af8"/>
    <w:uiPriority w:val="99"/>
    <w:rsid w:val="006C6DBE"/>
    <w:rPr>
      <w:rFonts w:ascii="Calibri" w:eastAsia="Times New Roman" w:hAnsi="Calibri" w:cs="Calibri"/>
      <w:sz w:val="20"/>
      <w:szCs w:val="20"/>
    </w:rPr>
  </w:style>
  <w:style w:type="paragraph" w:styleId="afa">
    <w:name w:val="footer"/>
    <w:basedOn w:val="a"/>
    <w:link w:val="afb"/>
    <w:uiPriority w:val="99"/>
    <w:unhideWhenUsed/>
    <w:rsid w:val="006C6DBE"/>
    <w:pPr>
      <w:tabs>
        <w:tab w:val="center" w:pos="4819"/>
        <w:tab w:val="right" w:pos="9639"/>
      </w:tabs>
      <w:spacing w:after="0" w:line="240" w:lineRule="auto"/>
    </w:pPr>
    <w:rPr>
      <w:rFonts w:ascii="Calibri" w:eastAsia="Times New Roman" w:hAnsi="Calibri" w:cs="Calibri"/>
      <w:sz w:val="20"/>
      <w:szCs w:val="20"/>
    </w:rPr>
  </w:style>
  <w:style w:type="character" w:customStyle="1" w:styleId="afb">
    <w:name w:val="Нижний колонтитул Знак"/>
    <w:basedOn w:val="a0"/>
    <w:link w:val="afa"/>
    <w:uiPriority w:val="99"/>
    <w:rsid w:val="006C6DBE"/>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92</Pages>
  <Words>152833</Words>
  <Characters>87115</Characters>
  <Application>Microsoft Office Word</Application>
  <DocSecurity>0</DocSecurity>
  <Lines>725</Lines>
  <Paragraphs>478</Paragraphs>
  <ScaleCrop>false</ScaleCrop>
  <Company/>
  <LinksUpToDate>false</LinksUpToDate>
  <CharactersWithSpaces>239470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2022-07-20T07:26:00Z</dcterms:created>
  <dcterms:modified xsi:type="dcterms:W3CDTF">2022-07-20T09:31:00Z</dcterms:modified>
</cp:coreProperties>
</file>